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901A3" w14:textId="08D14E05" w:rsidR="00E200CF" w:rsidRDefault="00E2484E" w:rsidP="004F1EF7">
      <w:pPr>
        <w:pStyle w:val="TitlePage1"/>
      </w:pPr>
      <w:bookmarkStart w:id="0" w:name="_GoBack"/>
      <w:bookmarkEnd w:id="0"/>
      <w:r>
        <w:rPr>
          <w:noProof/>
        </w:rPr>
        <w:drawing>
          <wp:anchor distT="0" distB="0" distL="114300" distR="114300" simplePos="0" relativeHeight="251658240" behindDoc="1" locked="0" layoutInCell="1" allowOverlap="1" wp14:anchorId="60AABD87" wp14:editId="678D679F">
            <wp:simplePos x="0" y="0"/>
            <wp:positionH relativeFrom="column">
              <wp:posOffset>5183505</wp:posOffset>
            </wp:positionH>
            <wp:positionV relativeFrom="paragraph">
              <wp:posOffset>8459470</wp:posOffset>
            </wp:positionV>
            <wp:extent cx="1080000" cy="1080000"/>
            <wp:effectExtent l="0" t="0" r="6350" b="6350"/>
            <wp:wrapNone/>
            <wp:docPr id="3" name="VCAT Seal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2E9080C4" w14:textId="77777777" w:rsidR="00E200CF" w:rsidRDefault="0070505F" w:rsidP="004A201D">
      <w:pPr>
        <w:pStyle w:val="TitlePage1"/>
        <w:spacing w:after="120"/>
      </w:pPr>
      <w:bookmarkStart w:id="1" w:name="Division"/>
      <w:bookmarkEnd w:id="1"/>
      <w:r>
        <w:t>planning and environment division</w:t>
      </w:r>
    </w:p>
    <w:tbl>
      <w:tblPr>
        <w:tblW w:w="5000" w:type="pct"/>
        <w:tblLook w:val="0000" w:firstRow="0" w:lastRow="0" w:firstColumn="0" w:lastColumn="0" w:noHBand="0" w:noVBand="0"/>
      </w:tblPr>
      <w:tblGrid>
        <w:gridCol w:w="4494"/>
        <w:gridCol w:w="4011"/>
      </w:tblGrid>
      <w:tr w:rsidR="00E200CF" w14:paraId="3BB37DB6" w14:textId="77777777" w:rsidTr="00BC190D">
        <w:trPr>
          <w:cantSplit/>
        </w:trPr>
        <w:tc>
          <w:tcPr>
            <w:tcW w:w="2642" w:type="pct"/>
          </w:tcPr>
          <w:p w14:paraId="78A89BAB" w14:textId="77777777" w:rsidR="00E200CF" w:rsidRDefault="00E200CF" w:rsidP="0070505F">
            <w:pPr>
              <w:pStyle w:val="TitlePage2"/>
              <w:ind w:left="-108"/>
            </w:pPr>
            <w:bookmarkStart w:id="2" w:name="SubDivision"/>
            <w:bookmarkEnd w:id="2"/>
            <w:r>
              <w:t>planning and environment LIST</w:t>
            </w:r>
          </w:p>
        </w:tc>
        <w:tc>
          <w:tcPr>
            <w:tcW w:w="2358" w:type="pct"/>
          </w:tcPr>
          <w:p w14:paraId="7768F65D" w14:textId="406043EC" w:rsidR="00E200CF" w:rsidRDefault="00E200CF" w:rsidP="00BC190D">
            <w:pPr>
              <w:pStyle w:val="TitlePage3"/>
            </w:pPr>
            <w:bookmarkStart w:id="3" w:name="FileNo1"/>
            <w:bookmarkEnd w:id="3"/>
            <w:r>
              <w:t xml:space="preserve">vcat reference No. </w:t>
            </w:r>
            <w:r w:rsidR="009928D4">
              <w:t>P1577/2019</w:t>
            </w:r>
          </w:p>
          <w:p w14:paraId="10C048BF" w14:textId="6E553D51" w:rsidR="00E200CF" w:rsidRDefault="00E200CF" w:rsidP="00BC190D">
            <w:pPr>
              <w:pStyle w:val="TitlePage3"/>
            </w:pPr>
            <w:r>
              <w:t xml:space="preserve">Permit Application no. </w:t>
            </w:r>
            <w:r w:rsidR="00E3706A">
              <w:t>TPA 502</w:t>
            </w:r>
            <w:r w:rsidR="00B82EE5">
              <w:t>56</w:t>
            </w:r>
          </w:p>
        </w:tc>
      </w:tr>
      <w:tr w:rsidR="00E200CF" w14:paraId="11CBE53E" w14:textId="77777777" w:rsidTr="00BC190D">
        <w:tblPrEx>
          <w:jc w:val="center"/>
        </w:tblPrEx>
        <w:trPr>
          <w:cantSplit/>
          <w:jc w:val="center"/>
        </w:trPr>
        <w:tc>
          <w:tcPr>
            <w:tcW w:w="5000" w:type="pct"/>
            <w:gridSpan w:val="2"/>
          </w:tcPr>
          <w:p w14:paraId="6FEA7D0A" w14:textId="77777777" w:rsidR="00E200CF" w:rsidRDefault="00E200CF" w:rsidP="00BC190D">
            <w:pPr>
              <w:pStyle w:val="TitlePage2"/>
              <w:jc w:val="center"/>
            </w:pPr>
            <w:r>
              <w:t>CATCHWORDS</w:t>
            </w:r>
          </w:p>
        </w:tc>
      </w:tr>
      <w:tr w:rsidR="00E200CF" w14:paraId="124D6005" w14:textId="77777777" w:rsidTr="00BC190D">
        <w:tblPrEx>
          <w:jc w:val="center"/>
        </w:tblPrEx>
        <w:trPr>
          <w:cantSplit/>
          <w:jc w:val="center"/>
        </w:trPr>
        <w:tc>
          <w:tcPr>
            <w:tcW w:w="5000" w:type="pct"/>
            <w:gridSpan w:val="2"/>
          </w:tcPr>
          <w:p w14:paraId="562631B2" w14:textId="7B7582DC" w:rsidR="00E200CF" w:rsidRDefault="00D551DF" w:rsidP="005630DD">
            <w:pPr>
              <w:pStyle w:val="Catchwords"/>
            </w:pPr>
            <w:r>
              <w:t xml:space="preserve">Section </w:t>
            </w:r>
            <w:r w:rsidR="00B82EE5">
              <w:t xml:space="preserve">79 </w:t>
            </w:r>
            <w:r>
              <w:t xml:space="preserve">of the </w:t>
            </w:r>
            <w:r>
              <w:rPr>
                <w:i/>
              </w:rPr>
              <w:t>Planning and Environment Act 1987</w:t>
            </w:r>
            <w:r>
              <w:t xml:space="preserve">; </w:t>
            </w:r>
            <w:r w:rsidR="00B82EE5">
              <w:t>Monash</w:t>
            </w:r>
            <w:r>
              <w:t xml:space="preserve"> Planning Scheme;</w:t>
            </w:r>
            <w:r w:rsidR="00C91134">
              <w:t xml:space="preserve"> General Resi</w:t>
            </w:r>
            <w:r w:rsidR="00D633D3">
              <w:t xml:space="preserve">dential Zone, </w:t>
            </w:r>
            <w:r w:rsidR="004348E7">
              <w:t>inconsisten</w:t>
            </w:r>
            <w:r w:rsidR="003278AE">
              <w:t>cy</w:t>
            </w:r>
            <w:r w:rsidR="004348E7">
              <w:t xml:space="preserve"> with </w:t>
            </w:r>
            <w:r w:rsidR="00CA5F5E">
              <w:t xml:space="preserve">neighbourhood character; </w:t>
            </w:r>
            <w:r w:rsidR="00D633D3">
              <w:t xml:space="preserve">building </w:t>
            </w:r>
            <w:r w:rsidR="00CA5F5E">
              <w:t xml:space="preserve">scale; </w:t>
            </w:r>
            <w:r w:rsidR="003278AE">
              <w:t>visual dominance in the streetscape</w:t>
            </w:r>
            <w:r w:rsidR="003F6BCB">
              <w:t xml:space="preserve">; </w:t>
            </w:r>
            <w:r w:rsidR="00744812">
              <w:t>space for landscaping; visual bulk.</w:t>
            </w:r>
          </w:p>
        </w:tc>
      </w:tr>
    </w:tbl>
    <w:p w14:paraId="3D6957F0"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499AE0A3" w14:textId="77777777" w:rsidTr="00BC190D">
        <w:tc>
          <w:tcPr>
            <w:tcW w:w="2084" w:type="pct"/>
          </w:tcPr>
          <w:p w14:paraId="0D5F6DE7" w14:textId="77777777" w:rsidR="00E200CF" w:rsidRDefault="00E200CF" w:rsidP="00BC190D">
            <w:pPr>
              <w:pStyle w:val="TitlePage2"/>
            </w:pPr>
            <w:bookmarkStart w:id="5" w:name="DELcomplainants2"/>
            <w:bookmarkStart w:id="6" w:name="DELapp"/>
            <w:bookmarkStart w:id="7" w:name="DELitmo"/>
            <w:bookmarkStart w:id="8" w:name="DELcar"/>
            <w:r>
              <w:t>APPLICANT</w:t>
            </w:r>
          </w:p>
        </w:tc>
        <w:tc>
          <w:tcPr>
            <w:tcW w:w="2916" w:type="pct"/>
          </w:tcPr>
          <w:p w14:paraId="2107F6FC" w14:textId="07EA8AB5" w:rsidR="00E200CF" w:rsidRDefault="007B2B11" w:rsidP="00BC190D">
            <w:pPr>
              <w:pStyle w:val="TitlePagetext"/>
            </w:pPr>
            <w:bookmarkStart w:id="9" w:name="Applicant"/>
            <w:bookmarkEnd w:id="9"/>
            <w:r>
              <w:t>Daw</w:t>
            </w:r>
            <w:r w:rsidR="002E55BA">
              <w:t>ei Zhang</w:t>
            </w:r>
          </w:p>
        </w:tc>
      </w:tr>
      <w:tr w:rsidR="00E200CF" w14:paraId="17C6A426" w14:textId="77777777" w:rsidTr="00BC190D">
        <w:tc>
          <w:tcPr>
            <w:tcW w:w="2084" w:type="pct"/>
          </w:tcPr>
          <w:p w14:paraId="55A8A4CE" w14:textId="77777777" w:rsidR="00E200CF" w:rsidRDefault="00E200CF" w:rsidP="00BC190D">
            <w:pPr>
              <w:pStyle w:val="TitlePage2"/>
            </w:pPr>
            <w:r>
              <w:t>responsible authority</w:t>
            </w:r>
          </w:p>
        </w:tc>
        <w:tc>
          <w:tcPr>
            <w:tcW w:w="2916" w:type="pct"/>
          </w:tcPr>
          <w:p w14:paraId="41C759A3" w14:textId="2A807FB2" w:rsidR="00E200CF" w:rsidRDefault="003A5B86" w:rsidP="00BC190D">
            <w:pPr>
              <w:pStyle w:val="TitlePagetext"/>
            </w:pPr>
            <w:r>
              <w:t>Monash City Council</w:t>
            </w:r>
          </w:p>
        </w:tc>
      </w:tr>
      <w:tr w:rsidR="00E200CF" w14:paraId="34951ADB" w14:textId="77777777" w:rsidTr="00BC190D">
        <w:tc>
          <w:tcPr>
            <w:tcW w:w="2084" w:type="pct"/>
          </w:tcPr>
          <w:p w14:paraId="07004041" w14:textId="77777777" w:rsidR="00E200CF" w:rsidRDefault="00E200CF" w:rsidP="00BC190D">
            <w:pPr>
              <w:pStyle w:val="TitlePage2"/>
            </w:pPr>
            <w:bookmarkStart w:id="10" w:name="DELrespondents2"/>
            <w:bookmarkStart w:id="11" w:name="DELsubjectland"/>
            <w:bookmarkEnd w:id="5"/>
            <w:bookmarkEnd w:id="6"/>
            <w:r>
              <w:t>SUBJECT LAND</w:t>
            </w:r>
          </w:p>
        </w:tc>
        <w:tc>
          <w:tcPr>
            <w:tcW w:w="2916" w:type="pct"/>
          </w:tcPr>
          <w:p w14:paraId="57AA037E" w14:textId="77777777" w:rsidR="00E200CF" w:rsidRDefault="00295B54" w:rsidP="00BC190D">
            <w:pPr>
              <w:pStyle w:val="TitlePagetext"/>
            </w:pPr>
            <w:bookmarkStart w:id="12" w:name="subjectland"/>
            <w:bookmarkEnd w:id="12"/>
            <w:r>
              <w:t>14-16 Oak Hill Road</w:t>
            </w:r>
          </w:p>
          <w:p w14:paraId="2FADAB65" w14:textId="11807619" w:rsidR="00295B54" w:rsidRDefault="00A614C9" w:rsidP="00BC190D">
            <w:pPr>
              <w:pStyle w:val="TitlePagetext"/>
            </w:pPr>
            <w:r>
              <w:t xml:space="preserve">MOUNT WAVERLEY VIC </w:t>
            </w:r>
            <w:r w:rsidR="00D7456F">
              <w:t>3149</w:t>
            </w:r>
          </w:p>
        </w:tc>
      </w:tr>
      <w:tr w:rsidR="00E200CF" w14:paraId="4E02336E" w14:textId="77777777" w:rsidTr="00BC190D">
        <w:tc>
          <w:tcPr>
            <w:tcW w:w="2084" w:type="pct"/>
          </w:tcPr>
          <w:p w14:paraId="5734233E" w14:textId="77777777" w:rsidR="00E200CF" w:rsidRDefault="00E200CF" w:rsidP="00BC190D">
            <w:pPr>
              <w:pStyle w:val="TitlePage2"/>
            </w:pPr>
            <w:bookmarkStart w:id="13" w:name="INSresponsibleAuthority"/>
            <w:bookmarkEnd w:id="7"/>
            <w:bookmarkEnd w:id="8"/>
            <w:bookmarkEnd w:id="10"/>
            <w:bookmarkEnd w:id="11"/>
            <w:bookmarkEnd w:id="13"/>
            <w:r>
              <w:t>WHERE HELD</w:t>
            </w:r>
          </w:p>
        </w:tc>
        <w:tc>
          <w:tcPr>
            <w:tcW w:w="2916" w:type="pct"/>
          </w:tcPr>
          <w:p w14:paraId="0638D9A5" w14:textId="77777777" w:rsidR="00E200CF" w:rsidRDefault="00E200CF" w:rsidP="00BC190D">
            <w:pPr>
              <w:pStyle w:val="TitlePagetext"/>
            </w:pPr>
            <w:bookmarkStart w:id="14" w:name="Location"/>
            <w:bookmarkEnd w:id="14"/>
            <w:r>
              <w:t>Melbourne</w:t>
            </w:r>
          </w:p>
        </w:tc>
      </w:tr>
      <w:tr w:rsidR="00E200CF" w14:paraId="4EAE7723" w14:textId="77777777" w:rsidTr="00BC190D">
        <w:tc>
          <w:tcPr>
            <w:tcW w:w="2084" w:type="pct"/>
          </w:tcPr>
          <w:p w14:paraId="457BEE68" w14:textId="77777777" w:rsidR="00E200CF" w:rsidRDefault="00E200CF" w:rsidP="00BC190D">
            <w:pPr>
              <w:pStyle w:val="TitlePage2"/>
            </w:pPr>
            <w:r>
              <w:t>BEFORE</w:t>
            </w:r>
          </w:p>
        </w:tc>
        <w:tc>
          <w:tcPr>
            <w:tcW w:w="2916" w:type="pct"/>
          </w:tcPr>
          <w:p w14:paraId="3E75F7C1" w14:textId="77777777" w:rsidR="00E200CF" w:rsidRDefault="005E6107" w:rsidP="00BC190D">
            <w:pPr>
              <w:pStyle w:val="TitlePagetext"/>
            </w:pPr>
            <w:bookmarkStart w:id="15" w:name="Before"/>
            <w:bookmarkEnd w:id="15"/>
            <w:r>
              <w:t>Frank Dawson</w:t>
            </w:r>
            <w:r w:rsidR="00E200CF">
              <w:t>, Member</w:t>
            </w:r>
          </w:p>
        </w:tc>
      </w:tr>
      <w:tr w:rsidR="00E200CF" w14:paraId="3D6355CE" w14:textId="77777777" w:rsidTr="00BC190D">
        <w:tc>
          <w:tcPr>
            <w:tcW w:w="2084" w:type="pct"/>
          </w:tcPr>
          <w:p w14:paraId="161D5342" w14:textId="77777777" w:rsidR="00E200CF" w:rsidRDefault="00E200CF" w:rsidP="00BC190D">
            <w:pPr>
              <w:pStyle w:val="TitlePage2"/>
            </w:pPr>
            <w:r>
              <w:t>HEARING TYPE</w:t>
            </w:r>
          </w:p>
        </w:tc>
        <w:tc>
          <w:tcPr>
            <w:tcW w:w="2916" w:type="pct"/>
          </w:tcPr>
          <w:p w14:paraId="7E0FC0C6" w14:textId="77777777" w:rsidR="00E200CF" w:rsidRDefault="00E200CF" w:rsidP="00BC190D">
            <w:pPr>
              <w:pStyle w:val="TitlePagetext"/>
            </w:pPr>
            <w:bookmarkStart w:id="16" w:name="HearingType"/>
            <w:bookmarkEnd w:id="16"/>
            <w:r>
              <w:t>Hearing</w:t>
            </w:r>
          </w:p>
        </w:tc>
      </w:tr>
      <w:tr w:rsidR="00E200CF" w14:paraId="050FF5BC" w14:textId="77777777" w:rsidTr="00BC190D">
        <w:tc>
          <w:tcPr>
            <w:tcW w:w="2084" w:type="pct"/>
          </w:tcPr>
          <w:p w14:paraId="26DF8CA4" w14:textId="77777777" w:rsidR="00E200CF" w:rsidRDefault="00E200CF" w:rsidP="00BC190D">
            <w:pPr>
              <w:pStyle w:val="TitlePage2"/>
            </w:pPr>
            <w:r>
              <w:t>DATE OF HEARING</w:t>
            </w:r>
          </w:p>
        </w:tc>
        <w:tc>
          <w:tcPr>
            <w:tcW w:w="2916" w:type="pct"/>
          </w:tcPr>
          <w:p w14:paraId="69232A05" w14:textId="6D2F0887" w:rsidR="00E200CF" w:rsidRDefault="00D7456F" w:rsidP="00BC190D">
            <w:pPr>
              <w:pStyle w:val="TitlePagetext"/>
            </w:pPr>
            <w:bookmarkStart w:id="17" w:name="HearingDate"/>
            <w:bookmarkEnd w:id="17"/>
            <w:r>
              <w:t>20 February 2020</w:t>
            </w:r>
            <w:r w:rsidR="00E200CF">
              <w:t xml:space="preserve">   </w:t>
            </w:r>
          </w:p>
        </w:tc>
      </w:tr>
      <w:tr w:rsidR="00E200CF" w14:paraId="3A4CCC72" w14:textId="77777777" w:rsidTr="00BC190D">
        <w:tc>
          <w:tcPr>
            <w:tcW w:w="2084" w:type="pct"/>
          </w:tcPr>
          <w:p w14:paraId="5052E0B2" w14:textId="77777777" w:rsidR="00E200CF" w:rsidRDefault="00E200CF" w:rsidP="00BC190D">
            <w:pPr>
              <w:pStyle w:val="TitlePage2"/>
            </w:pPr>
            <w:r>
              <w:t>DATE OF ORDER</w:t>
            </w:r>
          </w:p>
        </w:tc>
        <w:tc>
          <w:tcPr>
            <w:tcW w:w="2916" w:type="pct"/>
          </w:tcPr>
          <w:p w14:paraId="1682FDBC" w14:textId="1880294D" w:rsidR="00E200CF" w:rsidRDefault="00BF6837" w:rsidP="00BC190D">
            <w:pPr>
              <w:pStyle w:val="TitlePagetext"/>
            </w:pPr>
            <w:bookmarkStart w:id="18" w:name="DateOrder"/>
            <w:bookmarkEnd w:id="18"/>
            <w:r>
              <w:t>20</w:t>
            </w:r>
            <w:r w:rsidR="003F52C5">
              <w:t xml:space="preserve"> April 2020</w:t>
            </w:r>
          </w:p>
        </w:tc>
      </w:tr>
      <w:tr w:rsidR="00E200CF" w14:paraId="5B553167" w14:textId="77777777" w:rsidTr="00BC190D">
        <w:tc>
          <w:tcPr>
            <w:tcW w:w="2084" w:type="pct"/>
          </w:tcPr>
          <w:p w14:paraId="2F4BFF44" w14:textId="77777777" w:rsidR="00E200CF" w:rsidRDefault="00E200CF" w:rsidP="00BC190D">
            <w:pPr>
              <w:pStyle w:val="TitlePage2"/>
            </w:pPr>
            <w:r>
              <w:t>CITATION</w:t>
            </w:r>
          </w:p>
        </w:tc>
        <w:tc>
          <w:tcPr>
            <w:tcW w:w="2916" w:type="pct"/>
          </w:tcPr>
          <w:p w14:paraId="53E38957" w14:textId="77777777" w:rsidR="00DE5D6D" w:rsidRPr="00360889" w:rsidRDefault="00DE5D6D" w:rsidP="00360889">
            <w:pPr>
              <w:spacing w:before="120"/>
              <w:rPr>
                <w:lang w:eastAsia="en-GB"/>
              </w:rPr>
            </w:pPr>
            <w:r w:rsidRPr="00360889">
              <w:rPr>
                <w:color w:val="000000"/>
              </w:rPr>
              <w:t>Zhang v Monash CC [2020] VCAT 485</w:t>
            </w:r>
          </w:p>
          <w:p w14:paraId="118CA2FB" w14:textId="02C82942" w:rsidR="00E200CF" w:rsidRDefault="00E200CF" w:rsidP="00BC190D">
            <w:pPr>
              <w:pStyle w:val="TitlePagetext"/>
            </w:pPr>
            <w:r>
              <w:t xml:space="preserve">   </w:t>
            </w:r>
          </w:p>
        </w:tc>
      </w:tr>
    </w:tbl>
    <w:p w14:paraId="6E551B6D" w14:textId="77777777" w:rsidR="00E200CF" w:rsidRDefault="00E200CF" w:rsidP="00E200CF"/>
    <w:p w14:paraId="520A0AB9" w14:textId="77777777" w:rsidR="00E200CF" w:rsidRDefault="00E200CF" w:rsidP="00E200CF">
      <w:pPr>
        <w:pStyle w:val="Heading1"/>
      </w:pPr>
      <w:r>
        <w:t>Order</w:t>
      </w:r>
    </w:p>
    <w:p w14:paraId="1357820E" w14:textId="77777777" w:rsidR="00236734" w:rsidRDefault="00236734" w:rsidP="00236734">
      <w:pPr>
        <w:pStyle w:val="Order2"/>
      </w:pPr>
      <w:r w:rsidRPr="00620EF3">
        <w:t xml:space="preserve">Pursuant to Section 127 </w:t>
      </w:r>
      <w:r>
        <w:t xml:space="preserve">and </w:t>
      </w:r>
      <w:r w:rsidRPr="00A525BD">
        <w:t>Schedule 1 clause 64(2)</w:t>
      </w:r>
      <w:r>
        <w:t xml:space="preserve"> </w:t>
      </w:r>
      <w:r w:rsidRPr="00620EF3">
        <w:t xml:space="preserve">of the </w:t>
      </w:r>
      <w:r w:rsidRPr="00620EF3">
        <w:rPr>
          <w:i/>
        </w:rPr>
        <w:t xml:space="preserve">Victorian Civil and Administrative </w:t>
      </w:r>
      <w:r>
        <w:rPr>
          <w:i/>
        </w:rPr>
        <w:t xml:space="preserve">Tribunal </w:t>
      </w:r>
      <w:r w:rsidRPr="0080251B">
        <w:rPr>
          <w:i/>
        </w:rPr>
        <w:t>Act 1998</w:t>
      </w:r>
      <w:r>
        <w:t xml:space="preserve"> </w:t>
      </w:r>
      <w:r w:rsidRPr="00620EF3">
        <w:t>the permit application is amended to substitute for the permit application plans the following plans filed with the Tribunal:</w:t>
      </w:r>
    </w:p>
    <w:p w14:paraId="1F2521EA" w14:textId="449047B2" w:rsidR="00236734" w:rsidRDefault="00236734" w:rsidP="00236734">
      <w:pPr>
        <w:pStyle w:val="Quote1"/>
        <w:spacing w:after="60"/>
      </w:pPr>
      <w:r>
        <w:t xml:space="preserve">Plans prepared by </w:t>
      </w:r>
      <w:r w:rsidR="00721C3E">
        <w:t>McLauchlan Building Designers</w:t>
      </w:r>
    </w:p>
    <w:p w14:paraId="6E92C4C7" w14:textId="7193CE35" w:rsidR="00236734" w:rsidRDefault="009929CE" w:rsidP="00236734">
      <w:pPr>
        <w:pStyle w:val="Quote1"/>
        <w:spacing w:after="60"/>
      </w:pPr>
      <w:r>
        <w:t>Project 5337</w:t>
      </w:r>
      <w:r w:rsidR="008A26C6">
        <w:t>,</w:t>
      </w:r>
      <w:r>
        <w:t xml:space="preserve"> </w:t>
      </w:r>
      <w:r w:rsidR="00CC165F">
        <w:t xml:space="preserve">Issue P2, </w:t>
      </w:r>
      <w:r w:rsidR="00236734">
        <w:t xml:space="preserve">Drawings </w:t>
      </w:r>
      <w:r w:rsidR="00CC165F">
        <w:t>TP</w:t>
      </w:r>
      <w:r w:rsidR="00BF387A">
        <w:t>00 to TP12 inclusive</w:t>
      </w:r>
      <w:r w:rsidR="00236734">
        <w:t>.</w:t>
      </w:r>
    </w:p>
    <w:p w14:paraId="0F93FE08" w14:textId="646E2BD1" w:rsidR="00236734" w:rsidRDefault="00236734" w:rsidP="00236734">
      <w:pPr>
        <w:pStyle w:val="Quote1"/>
        <w:spacing w:after="60"/>
      </w:pPr>
      <w:r>
        <w:t xml:space="preserve">All dated </w:t>
      </w:r>
      <w:r w:rsidR="008A26C6">
        <w:t>9</w:t>
      </w:r>
      <w:r>
        <w:t>/12/2019.</w:t>
      </w:r>
    </w:p>
    <w:p w14:paraId="3B853693" w14:textId="77777777" w:rsidR="00236734" w:rsidRDefault="00236734" w:rsidP="00236734">
      <w:pPr>
        <w:pStyle w:val="Order2"/>
      </w:pPr>
      <w:r>
        <w:t xml:space="preserve">The following persons are </w:t>
      </w:r>
      <w:r w:rsidRPr="001A1FAC">
        <w:rPr>
          <w:b/>
        </w:rPr>
        <w:t>not</w:t>
      </w:r>
      <w:r>
        <w:t xml:space="preserve"> joined as parties to the proceeding because pursuant to clause 56(5) of schedule 1 of the </w:t>
      </w:r>
      <w:r>
        <w:rPr>
          <w:i/>
        </w:rPr>
        <w:t xml:space="preserve">Victorian Civil and Administrative Tribunal Act </w:t>
      </w:r>
      <w:r>
        <w:t>1998 their statement of grounds indicates that they do not intend to participate in the hearing of the proceeding.  I have considered their statement of grounds in my determination of this proceeding.</w:t>
      </w:r>
    </w:p>
    <w:p w14:paraId="008B6BB0" w14:textId="20289FEA" w:rsidR="00236734" w:rsidRDefault="0073265E" w:rsidP="00236734">
      <w:pPr>
        <w:pStyle w:val="Quote1"/>
        <w:spacing w:after="0"/>
      </w:pPr>
      <w:r>
        <w:t>Fiona Nicholson Stoker</w:t>
      </w:r>
      <w:r w:rsidR="001D41BE">
        <w:t xml:space="preserve"> and Franz Stocker</w:t>
      </w:r>
      <w:r w:rsidR="00A46AA6">
        <w:t>,</w:t>
      </w:r>
    </w:p>
    <w:p w14:paraId="7FAF00F2" w14:textId="518BA47B" w:rsidR="00236734" w:rsidRDefault="001D59B4" w:rsidP="00236734">
      <w:pPr>
        <w:pStyle w:val="Quote1"/>
        <w:spacing w:after="0"/>
      </w:pPr>
      <w:r>
        <w:t>Lea</w:t>
      </w:r>
      <w:r w:rsidR="00146646">
        <w:t>nne McPhee</w:t>
      </w:r>
      <w:r w:rsidR="00A46AA6">
        <w:t>.</w:t>
      </w:r>
    </w:p>
    <w:p w14:paraId="4B34B8C0" w14:textId="798E0B91" w:rsidR="00E200CF" w:rsidRDefault="00E2484E" w:rsidP="00E200CF">
      <w:r>
        <w:rPr>
          <w:noProof/>
        </w:rPr>
        <w:lastRenderedPageBreak/>
        <w:drawing>
          <wp:anchor distT="0" distB="0" distL="114300" distR="114300" simplePos="0" relativeHeight="251659264" behindDoc="1" locked="0" layoutInCell="1" allowOverlap="1" wp14:anchorId="595EA379" wp14:editId="51EFD079">
            <wp:simplePos x="0" y="0"/>
            <wp:positionH relativeFrom="column">
              <wp:posOffset>5183505</wp:posOffset>
            </wp:positionH>
            <wp:positionV relativeFrom="paragraph">
              <wp:posOffset>8459470</wp:posOffset>
            </wp:positionV>
            <wp:extent cx="1080000" cy="1080000"/>
            <wp:effectExtent l="0" t="0" r="6350" b="6350"/>
            <wp:wrapNone/>
            <wp:docPr id="4" name="VCAT Seal2"/>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5F693D6B" w14:textId="77777777" w:rsidR="00E200CF" w:rsidRDefault="00E200CF" w:rsidP="00E200CF">
      <w:pPr>
        <w:pStyle w:val="Heading3"/>
      </w:pPr>
      <w:r>
        <w:t>No permit granted</w:t>
      </w:r>
    </w:p>
    <w:p w14:paraId="63662449" w14:textId="335D4B46" w:rsidR="00E200CF" w:rsidRPr="00613A91" w:rsidRDefault="00E200CF" w:rsidP="00E200CF">
      <w:pPr>
        <w:pStyle w:val="Order2"/>
      </w:pPr>
      <w:r w:rsidRPr="00613A91">
        <w:t xml:space="preserve">In application </w:t>
      </w:r>
      <w:r w:rsidRPr="00FB7078">
        <w:t>P</w:t>
      </w:r>
      <w:r w:rsidR="000D46C9" w:rsidRPr="00FB7078">
        <w:t>1577</w:t>
      </w:r>
      <w:r w:rsidRPr="00FB7078">
        <w:t>/20</w:t>
      </w:r>
      <w:r w:rsidR="000D46C9" w:rsidRPr="00FB7078">
        <w:t>19</w:t>
      </w:r>
      <w:r w:rsidRPr="00613A91">
        <w:t xml:space="preserve"> the decision of the responsible authority is affirmed.</w:t>
      </w:r>
    </w:p>
    <w:p w14:paraId="608AEC5E" w14:textId="16ADE25C" w:rsidR="00E200CF" w:rsidRPr="00613A91" w:rsidRDefault="00E200CF" w:rsidP="00E200CF">
      <w:pPr>
        <w:pStyle w:val="Order2"/>
      </w:pPr>
      <w:r w:rsidRPr="00613A91">
        <w:t xml:space="preserve">In planning permit application </w:t>
      </w:r>
      <w:r w:rsidR="000D46C9">
        <w:t>TPA 50256</w:t>
      </w:r>
      <w:r w:rsidRPr="00613A91">
        <w:t xml:space="preserve"> no permit is granted.</w:t>
      </w:r>
    </w:p>
    <w:p w14:paraId="457439B0" w14:textId="176E48BC" w:rsidR="00E200CF" w:rsidRDefault="00E200CF" w:rsidP="00FB7078">
      <w:pPr>
        <w:pStyle w:val="Order2"/>
        <w:numPr>
          <w:ilvl w:val="0"/>
          <w:numId w:val="0"/>
        </w:numPr>
        <w:ind w:left="567"/>
      </w:pPr>
    </w:p>
    <w:p w14:paraId="7CE90A04" w14:textId="77777777" w:rsidR="00FB7078" w:rsidRDefault="00FB7078" w:rsidP="00FB7078">
      <w:pPr>
        <w:pStyle w:val="Order2"/>
        <w:numPr>
          <w:ilvl w:val="0"/>
          <w:numId w:val="0"/>
        </w:numPr>
        <w:ind w:left="567"/>
      </w:pPr>
    </w:p>
    <w:tbl>
      <w:tblPr>
        <w:tblW w:w="5000" w:type="pct"/>
        <w:tblLook w:val="0000" w:firstRow="0" w:lastRow="0" w:firstColumn="0" w:lastColumn="0" w:noHBand="0" w:noVBand="0"/>
      </w:tblPr>
      <w:tblGrid>
        <w:gridCol w:w="3562"/>
        <w:gridCol w:w="1936"/>
        <w:gridCol w:w="3007"/>
      </w:tblGrid>
      <w:tr w:rsidR="00E200CF" w14:paraId="39ED80D9" w14:textId="77777777" w:rsidTr="00BC190D">
        <w:tc>
          <w:tcPr>
            <w:tcW w:w="2094" w:type="pct"/>
          </w:tcPr>
          <w:p w14:paraId="16D5EBDB" w14:textId="77777777" w:rsidR="00E200CF" w:rsidRPr="00B876A2" w:rsidRDefault="005E6107" w:rsidP="00BC190D">
            <w:pPr>
              <w:rPr>
                <w:b/>
              </w:rPr>
            </w:pPr>
            <w:bookmarkStart w:id="19" w:name="DELappearances"/>
            <w:r>
              <w:rPr>
                <w:b/>
              </w:rPr>
              <w:t>Frank Dawson</w:t>
            </w:r>
          </w:p>
          <w:p w14:paraId="27C5FF03" w14:textId="77777777" w:rsidR="00E200CF" w:rsidRDefault="00E200CF" w:rsidP="00BC190D">
            <w:pPr>
              <w:tabs>
                <w:tab w:val="left" w:pos="1515"/>
              </w:tabs>
              <w:rPr>
                <w:b/>
              </w:rPr>
            </w:pPr>
            <w:r>
              <w:rPr>
                <w:b/>
              </w:rPr>
              <w:t>Member</w:t>
            </w:r>
          </w:p>
        </w:tc>
        <w:tc>
          <w:tcPr>
            <w:tcW w:w="1138" w:type="pct"/>
          </w:tcPr>
          <w:p w14:paraId="71D4D062" w14:textId="77777777" w:rsidR="00E200CF" w:rsidRDefault="00E200CF" w:rsidP="00BC190D"/>
        </w:tc>
        <w:tc>
          <w:tcPr>
            <w:tcW w:w="1768" w:type="pct"/>
          </w:tcPr>
          <w:p w14:paraId="0C4B2595" w14:textId="77777777" w:rsidR="00E200CF" w:rsidRDefault="00E200CF" w:rsidP="00BC190D"/>
        </w:tc>
      </w:tr>
    </w:tbl>
    <w:p w14:paraId="6774D5C1" w14:textId="77777777" w:rsidR="00E200CF" w:rsidRDefault="00E200CF" w:rsidP="00E200CF"/>
    <w:p w14:paraId="08392D8D" w14:textId="77777777" w:rsidR="00E200CF" w:rsidRDefault="00E200CF" w:rsidP="00E200CF"/>
    <w:p w14:paraId="38B6ACD5" w14:textId="77777777"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14:paraId="43DF34AA" w14:textId="77777777" w:rsidTr="00BC190D">
        <w:trPr>
          <w:cantSplit/>
        </w:trPr>
        <w:tc>
          <w:tcPr>
            <w:tcW w:w="2023" w:type="pct"/>
          </w:tcPr>
          <w:p w14:paraId="53113035" w14:textId="77777777" w:rsidR="00E200CF" w:rsidRDefault="00E200CF" w:rsidP="00BC190D">
            <w:pPr>
              <w:pStyle w:val="TitlePagetext"/>
            </w:pPr>
            <w:r>
              <w:t>For applicant</w:t>
            </w:r>
          </w:p>
        </w:tc>
        <w:tc>
          <w:tcPr>
            <w:tcW w:w="2977" w:type="pct"/>
          </w:tcPr>
          <w:p w14:paraId="30F0F99D" w14:textId="77777777" w:rsidR="00E200CF" w:rsidRDefault="00C26F2D" w:rsidP="00BC190D">
            <w:pPr>
              <w:pStyle w:val="TitlePagetext"/>
            </w:pPr>
            <w:r>
              <w:t>Mr Nick Crawford</w:t>
            </w:r>
            <w:r w:rsidR="00A25AB7">
              <w:t>, solicitor of TP Legal</w:t>
            </w:r>
            <w:r w:rsidR="00B60688">
              <w:t>.</w:t>
            </w:r>
          </w:p>
          <w:p w14:paraId="2E0353FA" w14:textId="72FD45EE" w:rsidR="002579ED" w:rsidRDefault="002579ED" w:rsidP="00BC190D">
            <w:pPr>
              <w:pStyle w:val="TitlePagetext"/>
            </w:pPr>
            <w:r>
              <w:t>He called expert evidence from</w:t>
            </w:r>
            <w:r w:rsidR="00095AFA">
              <w:t>:</w:t>
            </w:r>
          </w:p>
          <w:p w14:paraId="7E2625CD" w14:textId="77777777" w:rsidR="00D234B2" w:rsidRDefault="00344E77" w:rsidP="00BC190D">
            <w:pPr>
              <w:pStyle w:val="TitlePagetext"/>
            </w:pPr>
            <w:r>
              <w:t xml:space="preserve">Mr Daniel </w:t>
            </w:r>
            <w:r w:rsidR="006319BE">
              <w:t>Soussan</w:t>
            </w:r>
            <w:r w:rsidR="00D234B2">
              <w:t>, town planner</w:t>
            </w:r>
            <w:r w:rsidR="00A87B9B">
              <w:t xml:space="preserve"> of Tract</w:t>
            </w:r>
            <w:r w:rsidR="00D234B2">
              <w:t>.</w:t>
            </w:r>
          </w:p>
          <w:p w14:paraId="5573505F" w14:textId="0A1A8990" w:rsidR="002579ED" w:rsidRDefault="00D234B2" w:rsidP="00BC190D">
            <w:pPr>
              <w:pStyle w:val="TitlePagetext"/>
            </w:pPr>
            <w:r>
              <w:t>M</w:t>
            </w:r>
            <w:r w:rsidR="007D673E">
              <w:t>s Mika Lee</w:t>
            </w:r>
            <w:r w:rsidR="00F45E9C">
              <w:t xml:space="preserve">, </w:t>
            </w:r>
            <w:r w:rsidR="00814257">
              <w:t xml:space="preserve">landscape architect of </w:t>
            </w:r>
            <w:r w:rsidR="00700C9A">
              <w:t>John Patrick Landscape Architects Pty Ltd.</w:t>
            </w:r>
            <w:r w:rsidR="00A87B9B">
              <w:t xml:space="preserve"> </w:t>
            </w:r>
            <w:r w:rsidR="0018065B">
              <w:t xml:space="preserve"> </w:t>
            </w:r>
          </w:p>
        </w:tc>
      </w:tr>
      <w:tr w:rsidR="00E200CF" w14:paraId="499D2216" w14:textId="77777777" w:rsidTr="00BC190D">
        <w:trPr>
          <w:cantSplit/>
        </w:trPr>
        <w:tc>
          <w:tcPr>
            <w:tcW w:w="2023" w:type="pct"/>
          </w:tcPr>
          <w:p w14:paraId="64F423AA" w14:textId="77777777" w:rsidR="00E200CF" w:rsidRDefault="00E200CF" w:rsidP="00BC190D">
            <w:pPr>
              <w:pStyle w:val="TitlePagetext"/>
            </w:pPr>
            <w:r>
              <w:t>For responsible authority</w:t>
            </w:r>
          </w:p>
        </w:tc>
        <w:tc>
          <w:tcPr>
            <w:tcW w:w="2977" w:type="pct"/>
          </w:tcPr>
          <w:p w14:paraId="05091CA9" w14:textId="70AF13BD" w:rsidR="00E200CF" w:rsidRDefault="00E27AB9" w:rsidP="00BC190D">
            <w:pPr>
              <w:pStyle w:val="TitlePagetext"/>
            </w:pPr>
            <w:r>
              <w:t>Mr James Turner</w:t>
            </w:r>
            <w:r w:rsidR="005C7AA0">
              <w:t>, town planner.</w:t>
            </w:r>
          </w:p>
        </w:tc>
      </w:tr>
      <w:bookmarkEnd w:id="19"/>
    </w:tbl>
    <w:p w14:paraId="0678EF5B" w14:textId="77777777" w:rsidR="00E200CF" w:rsidRDefault="00E200CF" w:rsidP="00E200CF"/>
    <w:p w14:paraId="68833033" w14:textId="77777777" w:rsidR="00E200CF" w:rsidRDefault="00E200CF" w:rsidP="00E200CF"/>
    <w:p w14:paraId="0BDD12EF" w14:textId="77777777" w:rsidR="00E200CF" w:rsidRDefault="00E200CF" w:rsidP="00E200CF"/>
    <w:p w14:paraId="3B2C1EB6" w14:textId="77777777" w:rsidR="00E200CF" w:rsidRDefault="00E200CF" w:rsidP="00E200CF">
      <w:r>
        <w:br w:type="page"/>
      </w:r>
    </w:p>
    <w:p w14:paraId="26A2F553" w14:textId="2024474F" w:rsidR="00E200CF" w:rsidRDefault="00E2484E" w:rsidP="00E200CF">
      <w:pPr>
        <w:pStyle w:val="Heading1"/>
        <w:rPr>
          <w:highlight w:val="yellow"/>
        </w:rPr>
      </w:pPr>
      <w:r>
        <w:rPr>
          <w:noProof/>
        </w:rPr>
        <w:lastRenderedPageBreak/>
        <w:drawing>
          <wp:anchor distT="0" distB="0" distL="114300" distR="114300" simplePos="0" relativeHeight="251660288" behindDoc="1" locked="0" layoutInCell="1" allowOverlap="1" wp14:anchorId="2AD071F3" wp14:editId="670EBC10">
            <wp:simplePos x="0" y="0"/>
            <wp:positionH relativeFrom="column">
              <wp:posOffset>5183505</wp:posOffset>
            </wp:positionH>
            <wp:positionV relativeFrom="paragraph">
              <wp:posOffset>8459470</wp:posOffset>
            </wp:positionV>
            <wp:extent cx="1080000" cy="1080000"/>
            <wp:effectExtent l="0" t="0" r="6350" b="6350"/>
            <wp:wrapNone/>
            <wp:docPr id="5" name="VCAT Seal3"/>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7CC5345E" w14:textId="77777777" w:rsidTr="00BC190D">
        <w:trPr>
          <w:cantSplit/>
        </w:trPr>
        <w:tc>
          <w:tcPr>
            <w:tcW w:w="1924" w:type="pct"/>
          </w:tcPr>
          <w:p w14:paraId="54AA3663" w14:textId="77777777" w:rsidR="00E200CF" w:rsidRDefault="00E200CF" w:rsidP="00BC190D">
            <w:pPr>
              <w:pStyle w:val="TitlePagetext"/>
            </w:pPr>
            <w:r>
              <w:t>Description of proposal</w:t>
            </w:r>
          </w:p>
        </w:tc>
        <w:tc>
          <w:tcPr>
            <w:tcW w:w="3076" w:type="pct"/>
          </w:tcPr>
          <w:p w14:paraId="05DE9FAC" w14:textId="77777777" w:rsidR="00E200CF" w:rsidRDefault="009C2C09" w:rsidP="00BC190D">
            <w:pPr>
              <w:pStyle w:val="TitlePagetext"/>
            </w:pPr>
            <w:r>
              <w:t xml:space="preserve">Construction of four </w:t>
            </w:r>
            <w:r w:rsidR="00C97D6A">
              <w:t xml:space="preserve">detached </w:t>
            </w:r>
            <w:r w:rsidR="00E73AFC">
              <w:t xml:space="preserve">double storey dwellings above </w:t>
            </w:r>
            <w:r w:rsidR="00D01C15">
              <w:t>individual basements</w:t>
            </w:r>
            <w:r w:rsidR="003628C2">
              <w:t xml:space="preserve"> at </w:t>
            </w:r>
            <w:r w:rsidR="00AB5C94">
              <w:t xml:space="preserve">14-16 </w:t>
            </w:r>
            <w:r w:rsidR="005D68A7">
              <w:t>Oak Hill Road</w:t>
            </w:r>
            <w:r w:rsidR="00FB4D40">
              <w:t>, Mount Waver</w:t>
            </w:r>
            <w:r w:rsidR="001D7D5C">
              <w:t>ley</w:t>
            </w:r>
            <w:r w:rsidR="00C97D6A">
              <w:t xml:space="preserve">. </w:t>
            </w:r>
          </w:p>
          <w:p w14:paraId="65844ED2" w14:textId="77777777" w:rsidR="006C4557" w:rsidRDefault="00FB23EE" w:rsidP="00BC190D">
            <w:pPr>
              <w:pStyle w:val="TitlePagetext"/>
            </w:pPr>
            <w:r>
              <w:t>At the ground floor</w:t>
            </w:r>
            <w:r w:rsidR="00793B2C">
              <w:t>, e</w:t>
            </w:r>
            <w:r w:rsidR="00970516">
              <w:t xml:space="preserve">ach dwelling </w:t>
            </w:r>
            <w:r w:rsidR="00167262">
              <w:t xml:space="preserve">contains </w:t>
            </w:r>
            <w:r w:rsidR="00FA5A21">
              <w:t xml:space="preserve">a bedroom, </w:t>
            </w:r>
            <w:r w:rsidR="00E86A7C">
              <w:t xml:space="preserve">a </w:t>
            </w:r>
            <w:r w:rsidR="00FA5A21">
              <w:t>living</w:t>
            </w:r>
            <w:r w:rsidR="00E86A7C">
              <w:t xml:space="preserve">, </w:t>
            </w:r>
            <w:r w:rsidR="00FA5A21">
              <w:t xml:space="preserve">dining </w:t>
            </w:r>
            <w:r w:rsidR="00E86A7C">
              <w:t xml:space="preserve">and kitchen </w:t>
            </w:r>
            <w:r w:rsidR="00FA5A21">
              <w:t>area</w:t>
            </w:r>
            <w:r w:rsidR="00460BAE">
              <w:t xml:space="preserve"> and</w:t>
            </w:r>
            <w:r w:rsidR="00FC3568">
              <w:t xml:space="preserve"> a study</w:t>
            </w:r>
            <w:r w:rsidR="00460BAE">
              <w:t xml:space="preserve">. The first floor </w:t>
            </w:r>
            <w:r w:rsidR="00727506">
              <w:t>contains three bedrooms and a retreat</w:t>
            </w:r>
            <w:r w:rsidR="005E684E">
              <w:t>.</w:t>
            </w:r>
            <w:r w:rsidR="00874D6C">
              <w:t xml:space="preserve"> </w:t>
            </w:r>
            <w:r w:rsidR="00DA41A6">
              <w:t xml:space="preserve">Dwellings 2-4 </w:t>
            </w:r>
            <w:r w:rsidR="00E652C9">
              <w:t xml:space="preserve">each have a west-facing </w:t>
            </w:r>
            <w:r w:rsidR="00590549">
              <w:t xml:space="preserve">open </w:t>
            </w:r>
            <w:r w:rsidR="00E652C9">
              <w:t>central courtyard</w:t>
            </w:r>
            <w:r w:rsidR="006C4557">
              <w:t xml:space="preserve">. </w:t>
            </w:r>
          </w:p>
          <w:p w14:paraId="20F54783" w14:textId="268C0ABA" w:rsidR="00970516" w:rsidRPr="00851E10" w:rsidRDefault="005F6A62" w:rsidP="00BC190D">
            <w:pPr>
              <w:pStyle w:val="TitlePagetext"/>
            </w:pPr>
            <w:r>
              <w:t xml:space="preserve">The basement for dwelling 1 </w:t>
            </w:r>
            <w:r w:rsidR="00EA52FC">
              <w:t>contains a gym, bar and wine cellar.</w:t>
            </w:r>
            <w:r w:rsidR="00F06FDF">
              <w:t xml:space="preserve"> The basements for dwellings 2-4 </w:t>
            </w:r>
            <w:r w:rsidR="00B91E6F">
              <w:t>contain a garage for two cars and a store.</w:t>
            </w:r>
            <w:r w:rsidR="00874D6C">
              <w:t xml:space="preserve"> </w:t>
            </w:r>
            <w:r w:rsidR="000045D7">
              <w:t xml:space="preserve">Dwelling 1 has a ground floor </w:t>
            </w:r>
            <w:r w:rsidR="008057DF">
              <w:t>double garage</w:t>
            </w:r>
            <w:r w:rsidR="00965780">
              <w:t xml:space="preserve">. </w:t>
            </w:r>
            <w:r w:rsidR="00640399">
              <w:t xml:space="preserve">Dwellings 2-4 </w:t>
            </w:r>
            <w:r w:rsidR="005E12C2">
              <w:t>have</w:t>
            </w:r>
            <w:r w:rsidR="001A3AD6">
              <w:t xml:space="preserve"> </w:t>
            </w:r>
            <w:r w:rsidR="00415770">
              <w:t>elevators</w:t>
            </w:r>
            <w:r w:rsidR="001A3AD6">
              <w:t xml:space="preserve"> serving all floors.</w:t>
            </w:r>
          </w:p>
        </w:tc>
      </w:tr>
      <w:tr w:rsidR="00E200CF" w14:paraId="0B911B02" w14:textId="77777777" w:rsidTr="00BC190D">
        <w:trPr>
          <w:cantSplit/>
        </w:trPr>
        <w:tc>
          <w:tcPr>
            <w:tcW w:w="1924" w:type="pct"/>
          </w:tcPr>
          <w:p w14:paraId="3476FACD" w14:textId="77777777" w:rsidR="00E200CF" w:rsidRDefault="00E200CF" w:rsidP="00BC190D">
            <w:pPr>
              <w:pStyle w:val="TitlePagetext"/>
            </w:pPr>
            <w:r>
              <w:t>Nature of proceeding</w:t>
            </w:r>
          </w:p>
        </w:tc>
        <w:tc>
          <w:tcPr>
            <w:tcW w:w="3076" w:type="pct"/>
          </w:tcPr>
          <w:p w14:paraId="678244AA" w14:textId="62515A0C" w:rsidR="00E200CF" w:rsidRPr="00851E10" w:rsidRDefault="00E200CF" w:rsidP="00BC190D">
            <w:pPr>
              <w:pStyle w:val="TitlePagetext"/>
            </w:pPr>
            <w:r>
              <w:t xml:space="preserve">Application under section 79 of the </w:t>
            </w:r>
            <w:r>
              <w:rPr>
                <w:i/>
              </w:rPr>
              <w:t xml:space="preserve">Planning and Environment Act </w:t>
            </w:r>
            <w:r w:rsidRPr="002B7051">
              <w:rPr>
                <w:i/>
              </w:rPr>
              <w:t>1987</w:t>
            </w:r>
            <w:r>
              <w:t xml:space="preserve"> – to review the failure to grant a permit within the prescribed time.</w:t>
            </w:r>
            <w:r>
              <w:rPr>
                <w:rStyle w:val="FootnoteReference"/>
              </w:rPr>
              <w:footnoteReference w:id="2"/>
            </w:r>
          </w:p>
        </w:tc>
      </w:tr>
      <w:tr w:rsidR="00E200CF" w14:paraId="23420E1B" w14:textId="77777777" w:rsidTr="00BC190D">
        <w:trPr>
          <w:cantSplit/>
        </w:trPr>
        <w:tc>
          <w:tcPr>
            <w:tcW w:w="1924" w:type="pct"/>
          </w:tcPr>
          <w:p w14:paraId="58C5C8C2" w14:textId="77777777" w:rsidR="00E200CF" w:rsidRPr="005C699E" w:rsidRDefault="00E200CF" w:rsidP="00BC190D">
            <w:pPr>
              <w:pStyle w:val="TitlePagetext"/>
            </w:pPr>
            <w:r>
              <w:t>Planning scheme</w:t>
            </w:r>
          </w:p>
        </w:tc>
        <w:tc>
          <w:tcPr>
            <w:tcW w:w="3076" w:type="pct"/>
          </w:tcPr>
          <w:p w14:paraId="36B39AAF" w14:textId="59122067" w:rsidR="00E200CF" w:rsidRPr="00851E10" w:rsidRDefault="00ED555E" w:rsidP="00BC190D">
            <w:pPr>
              <w:pStyle w:val="TitlePagetext"/>
            </w:pPr>
            <w:r>
              <w:t>Monash Planning Scheme</w:t>
            </w:r>
          </w:p>
        </w:tc>
      </w:tr>
      <w:tr w:rsidR="00E200CF" w14:paraId="07A47E32" w14:textId="77777777" w:rsidTr="00BC190D">
        <w:trPr>
          <w:cantSplit/>
        </w:trPr>
        <w:tc>
          <w:tcPr>
            <w:tcW w:w="1924" w:type="pct"/>
          </w:tcPr>
          <w:p w14:paraId="3823F62E" w14:textId="77777777" w:rsidR="00E200CF" w:rsidRDefault="00E200CF" w:rsidP="00BC190D">
            <w:pPr>
              <w:pStyle w:val="TitlePagetext"/>
            </w:pPr>
            <w:r w:rsidRPr="005C699E">
              <w:t xml:space="preserve">Zone and </w:t>
            </w:r>
            <w:r>
              <w:t>o</w:t>
            </w:r>
            <w:r w:rsidRPr="005C699E">
              <w:t>verlays</w:t>
            </w:r>
          </w:p>
        </w:tc>
        <w:tc>
          <w:tcPr>
            <w:tcW w:w="3076" w:type="pct"/>
          </w:tcPr>
          <w:p w14:paraId="10F3C521" w14:textId="01560707" w:rsidR="00E200CF" w:rsidRDefault="00EB08B6" w:rsidP="00BC190D">
            <w:pPr>
              <w:pStyle w:val="TitlePagetext"/>
            </w:pPr>
            <w:r>
              <w:t>General Residentia</w:t>
            </w:r>
            <w:r w:rsidR="009D0AE6">
              <w:t>l</w:t>
            </w:r>
            <w:r>
              <w:t xml:space="preserve"> Zone – Schedule 3</w:t>
            </w:r>
            <w:r w:rsidR="009D0AE6">
              <w:t xml:space="preserve"> (GRZ3)</w:t>
            </w:r>
            <w:r w:rsidR="00F00A4E">
              <w:t>.</w:t>
            </w:r>
          </w:p>
          <w:p w14:paraId="56A80A6B" w14:textId="5C584852" w:rsidR="00BD5402" w:rsidRPr="00851E10" w:rsidRDefault="00842B4B" w:rsidP="00BC190D">
            <w:pPr>
              <w:pStyle w:val="TitlePagetext"/>
            </w:pPr>
            <w:r>
              <w:t>Vegetation Protection Overlay</w:t>
            </w:r>
            <w:r w:rsidR="00BD5402">
              <w:t xml:space="preserve"> – Schedule 1 (VPO1)</w:t>
            </w:r>
            <w:r w:rsidR="00F00A4E">
              <w:t>.</w:t>
            </w:r>
          </w:p>
        </w:tc>
      </w:tr>
      <w:tr w:rsidR="00E200CF" w14:paraId="4F24C183" w14:textId="77777777" w:rsidTr="00BC190D">
        <w:trPr>
          <w:cantSplit/>
        </w:trPr>
        <w:tc>
          <w:tcPr>
            <w:tcW w:w="1924" w:type="pct"/>
          </w:tcPr>
          <w:p w14:paraId="4C89F70A" w14:textId="77777777" w:rsidR="00E200CF" w:rsidRPr="005C699E" w:rsidRDefault="00E200CF" w:rsidP="00BC190D">
            <w:pPr>
              <w:pStyle w:val="TitlePagetext"/>
            </w:pPr>
            <w:r>
              <w:t>Permit requirements</w:t>
            </w:r>
          </w:p>
        </w:tc>
        <w:tc>
          <w:tcPr>
            <w:tcW w:w="3076" w:type="pct"/>
          </w:tcPr>
          <w:p w14:paraId="63D72148" w14:textId="1D8576D2" w:rsidR="00E200CF" w:rsidRPr="00851E10" w:rsidRDefault="005543BC" w:rsidP="00BC190D">
            <w:pPr>
              <w:pStyle w:val="TitlePagetext"/>
            </w:pPr>
            <w:r>
              <w:t xml:space="preserve">Clause 32.08-6 (a permit is required to </w:t>
            </w:r>
            <w:r w:rsidR="008A3489">
              <w:t>construct two or more dwellings on a lot).</w:t>
            </w:r>
          </w:p>
        </w:tc>
      </w:tr>
      <w:tr w:rsidR="00E200CF" w14:paraId="2ADEB42F" w14:textId="77777777" w:rsidTr="00BC190D">
        <w:trPr>
          <w:cantSplit/>
        </w:trPr>
        <w:tc>
          <w:tcPr>
            <w:tcW w:w="1924" w:type="pct"/>
          </w:tcPr>
          <w:p w14:paraId="3E0F7607" w14:textId="43F4057E" w:rsidR="00E200CF" w:rsidRDefault="00E2484E" w:rsidP="00BC190D">
            <w:pPr>
              <w:pStyle w:val="TitlePagetext"/>
            </w:pPr>
            <w:r>
              <w:rPr>
                <w:noProof/>
              </w:rPr>
              <w:lastRenderedPageBreak/>
              <w:drawing>
                <wp:anchor distT="0" distB="0" distL="114300" distR="114300" simplePos="0" relativeHeight="251661312" behindDoc="1" locked="0" layoutInCell="1" allowOverlap="1" wp14:anchorId="038392E9" wp14:editId="71E5EA5C">
                  <wp:simplePos x="0" y="0"/>
                  <wp:positionH relativeFrom="column">
                    <wp:posOffset>5183505</wp:posOffset>
                  </wp:positionH>
                  <wp:positionV relativeFrom="paragraph">
                    <wp:posOffset>8459470</wp:posOffset>
                  </wp:positionV>
                  <wp:extent cx="1080000" cy="1080000"/>
                  <wp:effectExtent l="0" t="0" r="6350" b="6350"/>
                  <wp:wrapNone/>
                  <wp:docPr id="6" name="VCAT Seal4"/>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Land description</w:t>
            </w:r>
          </w:p>
        </w:tc>
        <w:tc>
          <w:tcPr>
            <w:tcW w:w="3076" w:type="pct"/>
          </w:tcPr>
          <w:p w14:paraId="608F6AA3" w14:textId="28ADB878" w:rsidR="00E200CF" w:rsidRDefault="002D0206" w:rsidP="00BC190D">
            <w:pPr>
              <w:pStyle w:val="TitlePagetext"/>
            </w:pPr>
            <w:r>
              <w:t>The land is</w:t>
            </w:r>
            <w:r w:rsidR="00527961">
              <w:t xml:space="preserve"> located on the south-</w:t>
            </w:r>
            <w:r w:rsidR="00524981">
              <w:t xml:space="preserve">west corner of a </w:t>
            </w:r>
            <w:r w:rsidR="005E6F1F">
              <w:t>90</w:t>
            </w:r>
            <w:r w:rsidR="00926C68">
              <w:rPr>
                <w:vertAlign w:val="superscript"/>
              </w:rPr>
              <w:t>0</w:t>
            </w:r>
            <w:r w:rsidR="00926C68">
              <w:t xml:space="preserve"> </w:t>
            </w:r>
            <w:r w:rsidR="00524981">
              <w:t>bend in O</w:t>
            </w:r>
            <w:r w:rsidR="009C69C6">
              <w:t>ak Hill Road</w:t>
            </w:r>
            <w:r w:rsidR="00B5486B">
              <w:t>, Mount Waverley</w:t>
            </w:r>
            <w:r w:rsidR="00BC0926">
              <w:t xml:space="preserve">, approximately 265 metres from Highbury Road via </w:t>
            </w:r>
            <w:r w:rsidR="004163F4">
              <w:t>Prospect Street.</w:t>
            </w:r>
            <w:r w:rsidR="00445AAD">
              <w:t xml:space="preserve"> The land i</w:t>
            </w:r>
            <w:r w:rsidR="00101785">
              <w:t xml:space="preserve">s irregular in shape, with </w:t>
            </w:r>
            <w:r w:rsidR="00E55F0D">
              <w:t xml:space="preserve">a northern frontage to Oak Hill Road of </w:t>
            </w:r>
            <w:r w:rsidR="00253195">
              <w:t xml:space="preserve">53.04 metres and </w:t>
            </w:r>
            <w:r w:rsidR="00A039B8">
              <w:t xml:space="preserve">an eastern frontage of </w:t>
            </w:r>
            <w:r w:rsidR="00081BBB">
              <w:t>19.5 metres</w:t>
            </w:r>
            <w:r w:rsidR="002D7383">
              <w:t xml:space="preserve">, plus a splay of </w:t>
            </w:r>
            <w:r w:rsidR="004B360C">
              <w:t>4.31 metres at the north-east</w:t>
            </w:r>
            <w:r w:rsidR="006070FE">
              <w:t>ern</w:t>
            </w:r>
            <w:r w:rsidR="004B360C">
              <w:t xml:space="preserve"> </w:t>
            </w:r>
            <w:r w:rsidR="00E57FF6">
              <w:t>corner of the land</w:t>
            </w:r>
            <w:r w:rsidR="00081BBB">
              <w:t>.</w:t>
            </w:r>
            <w:r w:rsidR="00261218">
              <w:t xml:space="preserve"> The maximum north-south depth is </w:t>
            </w:r>
            <w:r w:rsidR="007A33F1">
              <w:t>30.38 metres and the t</w:t>
            </w:r>
            <w:r w:rsidR="00F01034">
              <w:t xml:space="preserve">otal area of the land is </w:t>
            </w:r>
            <w:r w:rsidR="00E030FE">
              <w:t>1,481m</w:t>
            </w:r>
            <w:r w:rsidR="007D3759">
              <w:rPr>
                <w:vertAlign w:val="superscript"/>
              </w:rPr>
              <w:t>2</w:t>
            </w:r>
            <w:r w:rsidR="007D3759">
              <w:t>.</w:t>
            </w:r>
          </w:p>
          <w:p w14:paraId="458628A7" w14:textId="77777777" w:rsidR="00F14E5F" w:rsidRDefault="00B90B2C" w:rsidP="00BC190D">
            <w:pPr>
              <w:pStyle w:val="TitlePagetext"/>
            </w:pPr>
            <w:r>
              <w:t xml:space="preserve">A 1.83 </w:t>
            </w:r>
            <w:r w:rsidR="00420A17">
              <w:t>m</w:t>
            </w:r>
            <w:r>
              <w:t>etre</w:t>
            </w:r>
            <w:r w:rsidR="00420A17">
              <w:t>s</w:t>
            </w:r>
            <w:r>
              <w:t xml:space="preserve"> wide</w:t>
            </w:r>
            <w:r w:rsidR="00420A17">
              <w:t xml:space="preserve"> </w:t>
            </w:r>
            <w:r w:rsidR="009B0FF9">
              <w:t>s</w:t>
            </w:r>
            <w:r w:rsidR="003D092E">
              <w:t>e</w:t>
            </w:r>
            <w:r w:rsidR="009B0FF9">
              <w:t>wer easement</w:t>
            </w:r>
            <w:r w:rsidR="003D092E">
              <w:t xml:space="preserve"> runs</w:t>
            </w:r>
            <w:r w:rsidR="00114F63">
              <w:t xml:space="preserve"> </w:t>
            </w:r>
            <w:r w:rsidR="00414664">
              <w:t xml:space="preserve">along the southern boundary from the </w:t>
            </w:r>
            <w:r w:rsidR="00114F63">
              <w:t>western side bounda</w:t>
            </w:r>
            <w:r w:rsidR="00B56D71">
              <w:t xml:space="preserve">ry for </w:t>
            </w:r>
            <w:r w:rsidR="00335A13">
              <w:t xml:space="preserve">23.77 metres and </w:t>
            </w:r>
            <w:r w:rsidR="007A7D74">
              <w:t xml:space="preserve">then traverses north through the centre of the land to </w:t>
            </w:r>
            <w:r w:rsidR="00D02ACB">
              <w:t>the Oak Hill Road frontage.</w:t>
            </w:r>
          </w:p>
          <w:p w14:paraId="722FB279" w14:textId="10EB5E64" w:rsidR="007D3759" w:rsidRPr="007D3759" w:rsidRDefault="00ED013B" w:rsidP="00BC190D">
            <w:pPr>
              <w:pStyle w:val="TitlePagetext"/>
            </w:pPr>
            <w:r>
              <w:t>The land slopes up fr</w:t>
            </w:r>
            <w:r w:rsidR="001657C9">
              <w:t xml:space="preserve">om Oak Hill Road, </w:t>
            </w:r>
            <w:r w:rsidR="00D8265F">
              <w:t xml:space="preserve">north to south </w:t>
            </w:r>
            <w:r w:rsidR="00EE25F8">
              <w:t xml:space="preserve">with a rise of </w:t>
            </w:r>
            <w:r w:rsidR="004F51CD">
              <w:t xml:space="preserve">generally </w:t>
            </w:r>
            <w:r w:rsidR="00EE25F8">
              <w:t>2-3 metres.</w:t>
            </w:r>
          </w:p>
        </w:tc>
      </w:tr>
      <w:tr w:rsidR="00E200CF" w14:paraId="3CB46968" w14:textId="77777777" w:rsidTr="00BC190D">
        <w:trPr>
          <w:cantSplit/>
        </w:trPr>
        <w:tc>
          <w:tcPr>
            <w:tcW w:w="1924" w:type="pct"/>
          </w:tcPr>
          <w:p w14:paraId="3CB33C07" w14:textId="77777777" w:rsidR="00E200CF" w:rsidRDefault="00E200CF" w:rsidP="00BC190D">
            <w:pPr>
              <w:pStyle w:val="TitlePagetext"/>
            </w:pPr>
            <w:r>
              <w:t>Tribunal inspection</w:t>
            </w:r>
          </w:p>
        </w:tc>
        <w:tc>
          <w:tcPr>
            <w:tcW w:w="3076" w:type="pct"/>
          </w:tcPr>
          <w:p w14:paraId="4312A0ED" w14:textId="1F22D067" w:rsidR="00E200CF" w:rsidRPr="00851E10" w:rsidRDefault="004664BE" w:rsidP="00BC190D">
            <w:pPr>
              <w:pStyle w:val="TitlePagetext"/>
            </w:pPr>
            <w:r>
              <w:t>The Tribunal inspected the subject land and the surrounding area.</w:t>
            </w:r>
            <w:r w:rsidR="00E200CF">
              <w:t xml:space="preserve">   </w:t>
            </w:r>
          </w:p>
        </w:tc>
      </w:tr>
    </w:tbl>
    <w:p w14:paraId="703C954B" w14:textId="77777777" w:rsidR="00E200CF" w:rsidRDefault="00E200CF" w:rsidP="00E200CF">
      <w:pPr>
        <w:pStyle w:val="Order1"/>
      </w:pPr>
    </w:p>
    <w:p w14:paraId="5F384845" w14:textId="2EF6CB22" w:rsidR="00E200CF" w:rsidRDefault="00E200CF" w:rsidP="00E200CF">
      <w:pPr>
        <w:pStyle w:val="Heading1"/>
      </w:pPr>
      <w:r>
        <w:br w:type="page"/>
      </w:r>
      <w:r w:rsidR="00E2484E">
        <w:rPr>
          <w:noProof/>
        </w:rPr>
        <w:lastRenderedPageBreak/>
        <w:drawing>
          <wp:anchor distT="0" distB="0" distL="114300" distR="114300" simplePos="0" relativeHeight="251662336" behindDoc="1" locked="0" layoutInCell="1" allowOverlap="1" wp14:anchorId="4CDB9996" wp14:editId="25235F3C">
            <wp:simplePos x="0" y="0"/>
            <wp:positionH relativeFrom="column">
              <wp:posOffset>5183505</wp:posOffset>
            </wp:positionH>
            <wp:positionV relativeFrom="paragraph">
              <wp:posOffset>8459470</wp:posOffset>
            </wp:positionV>
            <wp:extent cx="1080000" cy="1080000"/>
            <wp:effectExtent l="0" t="0" r="6350" b="6350"/>
            <wp:wrapNone/>
            <wp:docPr id="7" name="VCAT Seal5"/>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3"/>
      </w:r>
    </w:p>
    <w:p w14:paraId="0D3959CF" w14:textId="77777777" w:rsidR="00E200CF" w:rsidRDefault="00E200CF" w:rsidP="00E200CF">
      <w:pPr>
        <w:pStyle w:val="Heading2"/>
      </w:pPr>
      <w:r>
        <w:t xml:space="preserve">What is this </w:t>
      </w:r>
      <w:r w:rsidRPr="004413F4">
        <w:t>proceeding</w:t>
      </w:r>
      <w:r>
        <w:t xml:space="preserve"> about?</w:t>
      </w:r>
    </w:p>
    <w:p w14:paraId="6C370C66" w14:textId="60A9B978" w:rsidR="00E200CF" w:rsidRDefault="00D35E85" w:rsidP="00E200CF">
      <w:pPr>
        <w:pStyle w:val="Para1"/>
      </w:pPr>
      <w:r>
        <w:t xml:space="preserve">On 7 August 2019, the Tribunal received </w:t>
      </w:r>
      <w:r w:rsidR="00F63092">
        <w:t xml:space="preserve">a request from </w:t>
      </w:r>
      <w:r w:rsidR="00061068">
        <w:t xml:space="preserve">the permit applicant seeking a determination </w:t>
      </w:r>
      <w:r w:rsidR="00760559">
        <w:t xml:space="preserve">of planning application number </w:t>
      </w:r>
      <w:r w:rsidR="00760559" w:rsidRPr="00C3235C">
        <w:t>TPA 50256</w:t>
      </w:r>
      <w:r w:rsidR="00933934">
        <w:t xml:space="preserve"> due </w:t>
      </w:r>
      <w:r w:rsidR="00DE46F9">
        <w:t xml:space="preserve">to </w:t>
      </w:r>
      <w:r w:rsidR="00C3235C">
        <w:t>the</w:t>
      </w:r>
      <w:r w:rsidR="00DE46F9">
        <w:t xml:space="preserve"> failure </w:t>
      </w:r>
      <w:r w:rsidR="00C3235C">
        <w:t>of</w:t>
      </w:r>
      <w:r w:rsidR="00DE46F9">
        <w:t xml:space="preserve"> the responsible authority to </w:t>
      </w:r>
      <w:r w:rsidR="0003781E">
        <w:t>grant a permit</w:t>
      </w:r>
      <w:r w:rsidR="005D7626">
        <w:t xml:space="preserve"> within the prescribed time.</w:t>
      </w:r>
      <w:r w:rsidR="001359A3">
        <w:t xml:space="preserve"> The proposal is for four double storey dwellings at 14-16 Oak Hill Road, </w:t>
      </w:r>
      <w:r w:rsidR="00585B3F">
        <w:t>Mount Waverley.</w:t>
      </w:r>
    </w:p>
    <w:p w14:paraId="1CB2BE38" w14:textId="39B57668" w:rsidR="00585B3F" w:rsidRDefault="005912F8" w:rsidP="00E200CF">
      <w:pPr>
        <w:pStyle w:val="Para1"/>
      </w:pPr>
      <w:r>
        <w:t>Following</w:t>
      </w:r>
      <w:r w:rsidR="001F5A5E">
        <w:t xml:space="preserve"> </w:t>
      </w:r>
      <w:r w:rsidR="006C6B33">
        <w:t>the above</w:t>
      </w:r>
      <w:r w:rsidR="001F5A5E">
        <w:t xml:space="preserve"> request</w:t>
      </w:r>
      <w:r w:rsidR="00461678">
        <w:t xml:space="preserve">, </w:t>
      </w:r>
      <w:r w:rsidR="00585B3F">
        <w:t>the Tri</w:t>
      </w:r>
      <w:r w:rsidR="00A6516B">
        <w:t>bu</w:t>
      </w:r>
      <w:r w:rsidR="00585B3F">
        <w:t>nal</w:t>
      </w:r>
      <w:r w:rsidR="00A6516B">
        <w:t xml:space="preserve"> </w:t>
      </w:r>
      <w:r w:rsidR="00CF723B">
        <w:t>was</w:t>
      </w:r>
      <w:r w:rsidR="00FF3268">
        <w:t xml:space="preserve"> informed </w:t>
      </w:r>
      <w:r w:rsidR="001E6995">
        <w:t>that</w:t>
      </w:r>
      <w:r w:rsidR="00032A74">
        <w:t xml:space="preserve"> </w:t>
      </w:r>
      <w:r w:rsidR="00E85947">
        <w:t xml:space="preserve">a notice of decision to refuse </w:t>
      </w:r>
      <w:r w:rsidR="00B7101D">
        <w:t>the</w:t>
      </w:r>
      <w:r w:rsidR="00E85947">
        <w:t xml:space="preserve"> grant </w:t>
      </w:r>
      <w:r w:rsidR="00B7101D">
        <w:t>of a</w:t>
      </w:r>
      <w:r w:rsidR="00E85947">
        <w:t xml:space="preserve"> permit</w:t>
      </w:r>
      <w:r w:rsidR="00032A74">
        <w:t xml:space="preserve"> was issued by the Council on the 19 August 2019</w:t>
      </w:r>
      <w:r w:rsidR="00E85947">
        <w:t>.</w:t>
      </w:r>
      <w:r w:rsidR="00585B3F">
        <w:t xml:space="preserve"> </w:t>
      </w:r>
    </w:p>
    <w:p w14:paraId="5A4E7FA1" w14:textId="55812117" w:rsidR="00F401DC" w:rsidRDefault="00B731E7" w:rsidP="00E200CF">
      <w:pPr>
        <w:pStyle w:val="Para1"/>
      </w:pPr>
      <w:r>
        <w:t xml:space="preserve">The Tribunal also received statements of grounds from </w:t>
      </w:r>
      <w:r w:rsidR="005E0EE3">
        <w:t xml:space="preserve">three </w:t>
      </w:r>
      <w:r w:rsidR="00DC04BB">
        <w:t>objectors to the proposal</w:t>
      </w:r>
      <w:r w:rsidR="00E14742">
        <w:t>. Two objectors</w:t>
      </w:r>
      <w:r w:rsidR="00DC04BB">
        <w:t xml:space="preserve"> reside</w:t>
      </w:r>
      <w:r w:rsidR="00375B85">
        <w:t xml:space="preserve"> diagonally opposite the subject land in Oak Hill Road and</w:t>
      </w:r>
      <w:r w:rsidR="00DC04BB">
        <w:t xml:space="preserve"> </w:t>
      </w:r>
      <w:r w:rsidR="00375B85">
        <w:t>one</w:t>
      </w:r>
      <w:r w:rsidR="00E14742">
        <w:t xml:space="preserve"> resides</w:t>
      </w:r>
      <w:r w:rsidR="0086521A">
        <w:t xml:space="preserve"> on abutting land to the south in Ralph </w:t>
      </w:r>
      <w:r w:rsidR="00332569">
        <w:t>C</w:t>
      </w:r>
      <w:r w:rsidR="0086521A">
        <w:t>ourt.</w:t>
      </w:r>
      <w:r w:rsidR="00AD068E">
        <w:t xml:space="preserve"> The objectors are not </w:t>
      </w:r>
      <w:r w:rsidR="009F0448">
        <w:t xml:space="preserve">parties to this proceeding </w:t>
      </w:r>
      <w:r w:rsidR="00105BD8">
        <w:t>as they did not attend</w:t>
      </w:r>
      <w:r w:rsidR="00DC7813">
        <w:t xml:space="preserve"> the </w:t>
      </w:r>
      <w:r w:rsidR="00E160A3">
        <w:t>h</w:t>
      </w:r>
      <w:r w:rsidR="00DC7813">
        <w:t>earing</w:t>
      </w:r>
      <w:r w:rsidR="009D658E">
        <w:t xml:space="preserve">, </w:t>
      </w:r>
      <w:r w:rsidR="00E96D31">
        <w:t>however, t</w:t>
      </w:r>
      <w:r w:rsidR="00D350CB">
        <w:t xml:space="preserve">heir submissions </w:t>
      </w:r>
      <w:r w:rsidR="0072351F">
        <w:t>have been</w:t>
      </w:r>
      <w:r w:rsidR="00D350CB">
        <w:t xml:space="preserve"> considered</w:t>
      </w:r>
      <w:r w:rsidR="00071C8C">
        <w:t>.</w:t>
      </w:r>
      <w:r w:rsidR="009F0448">
        <w:t xml:space="preserve"> </w:t>
      </w:r>
    </w:p>
    <w:p w14:paraId="422F3C73" w14:textId="2B68D153" w:rsidR="00C3087C" w:rsidRDefault="00CA5BBB" w:rsidP="00E200CF">
      <w:pPr>
        <w:pStyle w:val="Para1"/>
      </w:pPr>
      <w:r>
        <w:t xml:space="preserve">At the commencement of the hearing, </w:t>
      </w:r>
      <w:r w:rsidR="00A45EF4">
        <w:t>the permit applicant sought to substitute amended plans for the permit application plans. Th</w:t>
      </w:r>
      <w:r w:rsidR="002A657A">
        <w:t xml:space="preserve">e amended plans were circulation to all of the parties prior to the hearing </w:t>
      </w:r>
      <w:r w:rsidR="004A14EF">
        <w:t xml:space="preserve">in accordance with the Tribunal’s </w:t>
      </w:r>
      <w:r w:rsidR="004A14EF" w:rsidRPr="00A24394">
        <w:rPr>
          <w:i/>
          <w:iCs/>
        </w:rPr>
        <w:t>Practice Note</w:t>
      </w:r>
      <w:r w:rsidR="004A14EF">
        <w:t xml:space="preserve"> </w:t>
      </w:r>
      <w:r w:rsidR="004A14EF" w:rsidRPr="00A24394">
        <w:rPr>
          <w:i/>
          <w:iCs/>
        </w:rPr>
        <w:t>PNPE</w:t>
      </w:r>
      <w:r w:rsidR="00DB54BC" w:rsidRPr="00A24394">
        <w:rPr>
          <w:i/>
          <w:iCs/>
        </w:rPr>
        <w:t>9 – Amendment of Plans and Applica</w:t>
      </w:r>
      <w:r w:rsidR="00A24394" w:rsidRPr="00A24394">
        <w:rPr>
          <w:i/>
          <w:iCs/>
        </w:rPr>
        <w:t>tions</w:t>
      </w:r>
      <w:r w:rsidR="00AF0C19">
        <w:t xml:space="preserve"> and there were no</w:t>
      </w:r>
      <w:r w:rsidR="001E6845">
        <w:t xml:space="preserve"> objections to the requested substitution. </w:t>
      </w:r>
      <w:r w:rsidR="005135D4">
        <w:t>I formally substituted the plans</w:t>
      </w:r>
      <w:r w:rsidR="00AA7C06">
        <w:t xml:space="preserve"> in accordance with </w:t>
      </w:r>
      <w:r w:rsidR="00EC1938">
        <w:t xml:space="preserve">Section 127 of the </w:t>
      </w:r>
      <w:r w:rsidR="00EC1938">
        <w:rPr>
          <w:i/>
          <w:iCs/>
        </w:rPr>
        <w:t xml:space="preserve">Victorian Civil and </w:t>
      </w:r>
      <w:r w:rsidR="002C166D">
        <w:rPr>
          <w:i/>
          <w:iCs/>
        </w:rPr>
        <w:t>Administrative Tribunal Act 1998</w:t>
      </w:r>
      <w:r w:rsidR="00F74166">
        <w:t xml:space="preserve">. </w:t>
      </w:r>
      <w:r w:rsidR="00B43CEA">
        <w:t>My decision in this proceeding is based on the amended plan</w:t>
      </w:r>
      <w:r w:rsidR="00D2629C">
        <w:t>s</w:t>
      </w:r>
      <w:r w:rsidR="003037FD">
        <w:t>,</w:t>
      </w:r>
      <w:r w:rsidR="00D2629C">
        <w:t xml:space="preserve"> all dated 9/12/2019.</w:t>
      </w:r>
    </w:p>
    <w:p w14:paraId="27A5ABFF" w14:textId="6FBCC8C8" w:rsidR="00D2629C" w:rsidRDefault="00B72B0C" w:rsidP="00E200CF">
      <w:pPr>
        <w:pStyle w:val="Para1"/>
      </w:pPr>
      <w:r>
        <w:t xml:space="preserve">Council’s </w:t>
      </w:r>
      <w:r w:rsidR="00EC2460">
        <w:t xml:space="preserve">reasons for </w:t>
      </w:r>
      <w:r>
        <w:t>refus</w:t>
      </w:r>
      <w:r w:rsidR="00EC2460">
        <w:t>ing</w:t>
      </w:r>
      <w:r>
        <w:t xml:space="preserve"> </w:t>
      </w:r>
      <w:r w:rsidR="00DA5C18">
        <w:t>the proposed development</w:t>
      </w:r>
      <w:r>
        <w:t xml:space="preserve"> </w:t>
      </w:r>
      <w:r w:rsidR="00EC2460">
        <w:t>i</w:t>
      </w:r>
      <w:r w:rsidR="00CD0382">
        <w:t>nclude</w:t>
      </w:r>
      <w:r w:rsidR="00653F1F">
        <w:t>:</w:t>
      </w:r>
    </w:p>
    <w:p w14:paraId="045F893F" w14:textId="4A795A3C" w:rsidR="00653F1F" w:rsidRDefault="00653F1F" w:rsidP="00653F1F">
      <w:pPr>
        <w:pStyle w:val="Para1"/>
        <w:numPr>
          <w:ilvl w:val="0"/>
          <w:numId w:val="18"/>
        </w:numPr>
      </w:pPr>
      <w:r>
        <w:t xml:space="preserve">Failure to meet a number of </w:t>
      </w:r>
      <w:r w:rsidR="005856B1">
        <w:t xml:space="preserve">strategic objectives </w:t>
      </w:r>
      <w:r w:rsidR="00E017DF">
        <w:t xml:space="preserve">contained in the </w:t>
      </w:r>
      <w:r>
        <w:rPr>
          <w:i/>
          <w:iCs/>
        </w:rPr>
        <w:t>Planning Policy Framewor</w:t>
      </w:r>
      <w:r w:rsidR="00E017DF">
        <w:rPr>
          <w:i/>
          <w:iCs/>
        </w:rPr>
        <w:t>k</w:t>
      </w:r>
      <w:r w:rsidR="00E017DF">
        <w:t xml:space="preserve"> and</w:t>
      </w:r>
      <w:r w:rsidR="00462CE7">
        <w:t xml:space="preserve"> </w:t>
      </w:r>
      <w:r w:rsidR="00462CE7">
        <w:rPr>
          <w:i/>
          <w:iCs/>
        </w:rPr>
        <w:t>Loc</w:t>
      </w:r>
      <w:r w:rsidR="002D30A3">
        <w:rPr>
          <w:i/>
          <w:iCs/>
        </w:rPr>
        <w:t>a</w:t>
      </w:r>
      <w:r w:rsidR="00462CE7">
        <w:rPr>
          <w:i/>
          <w:iCs/>
        </w:rPr>
        <w:t xml:space="preserve">l Planning Policy </w:t>
      </w:r>
      <w:r w:rsidR="002D30A3">
        <w:rPr>
          <w:i/>
          <w:iCs/>
        </w:rPr>
        <w:t>F</w:t>
      </w:r>
      <w:r w:rsidR="00462CE7">
        <w:rPr>
          <w:i/>
          <w:iCs/>
        </w:rPr>
        <w:t>ramework</w:t>
      </w:r>
      <w:r w:rsidR="000F684D">
        <w:t>, specifically</w:t>
      </w:r>
      <w:r w:rsidR="00ED2514">
        <w:t>:</w:t>
      </w:r>
    </w:p>
    <w:p w14:paraId="2C879E64" w14:textId="40C514D2" w:rsidR="00ED2514" w:rsidRPr="00AA67E0" w:rsidRDefault="007113DE" w:rsidP="00ED2514">
      <w:pPr>
        <w:pStyle w:val="Para1"/>
        <w:numPr>
          <w:ilvl w:val="1"/>
          <w:numId w:val="18"/>
        </w:numPr>
        <w:rPr>
          <w:i/>
          <w:iCs/>
        </w:rPr>
      </w:pPr>
      <w:r w:rsidRPr="00AA67E0">
        <w:rPr>
          <w:i/>
          <w:iCs/>
        </w:rPr>
        <w:t xml:space="preserve">Clause </w:t>
      </w:r>
      <w:r w:rsidR="00EE22D4" w:rsidRPr="00AA67E0">
        <w:rPr>
          <w:i/>
          <w:iCs/>
        </w:rPr>
        <w:t>15 – Built Environment and Heritage.</w:t>
      </w:r>
    </w:p>
    <w:p w14:paraId="63BC8BC9" w14:textId="4AEBFF56" w:rsidR="00EE22D4" w:rsidRDefault="003D3635" w:rsidP="00ED2514">
      <w:pPr>
        <w:pStyle w:val="Para1"/>
        <w:numPr>
          <w:ilvl w:val="1"/>
          <w:numId w:val="18"/>
        </w:numPr>
      </w:pPr>
      <w:r w:rsidRPr="00AA67E0">
        <w:rPr>
          <w:i/>
          <w:iCs/>
        </w:rPr>
        <w:t>Clause 21.04 – Residential Development</w:t>
      </w:r>
      <w:r w:rsidR="00CF27B6" w:rsidRPr="00AA67E0">
        <w:rPr>
          <w:i/>
          <w:iCs/>
        </w:rPr>
        <w:t xml:space="preserve"> and Character Policy</w:t>
      </w:r>
      <w:r w:rsidRPr="00AA67E0">
        <w:rPr>
          <w:i/>
          <w:iCs/>
        </w:rPr>
        <w:t>.</w:t>
      </w:r>
    </w:p>
    <w:p w14:paraId="358CD332" w14:textId="060CDDC4" w:rsidR="003D3635" w:rsidRDefault="00624F7A" w:rsidP="00624F7A">
      <w:pPr>
        <w:pStyle w:val="Para1"/>
        <w:numPr>
          <w:ilvl w:val="0"/>
          <w:numId w:val="18"/>
        </w:numPr>
      </w:pPr>
      <w:r>
        <w:t xml:space="preserve">Failure to meet </w:t>
      </w:r>
      <w:r w:rsidR="00CD3401">
        <w:t>the design guideline objectives at Clause 55, specifically:</w:t>
      </w:r>
    </w:p>
    <w:p w14:paraId="36A45443" w14:textId="74CF30E9" w:rsidR="00CD3401" w:rsidRPr="00AA67E0" w:rsidRDefault="00B84998" w:rsidP="00B84998">
      <w:pPr>
        <w:pStyle w:val="Para1"/>
        <w:numPr>
          <w:ilvl w:val="1"/>
          <w:numId w:val="18"/>
        </w:numPr>
        <w:rPr>
          <w:i/>
          <w:iCs/>
        </w:rPr>
      </w:pPr>
      <w:r w:rsidRPr="00AA67E0">
        <w:rPr>
          <w:i/>
          <w:iCs/>
        </w:rPr>
        <w:t>Clause 55.02-1 Neighbourhood character.</w:t>
      </w:r>
    </w:p>
    <w:p w14:paraId="4B944AE3" w14:textId="79F8B7D1" w:rsidR="00B84998" w:rsidRPr="00AA67E0" w:rsidRDefault="00B84998" w:rsidP="00B84998">
      <w:pPr>
        <w:pStyle w:val="Para1"/>
        <w:numPr>
          <w:ilvl w:val="1"/>
          <w:numId w:val="18"/>
        </w:numPr>
        <w:rPr>
          <w:i/>
          <w:iCs/>
        </w:rPr>
      </w:pPr>
      <w:r w:rsidRPr="00AA67E0">
        <w:rPr>
          <w:i/>
          <w:iCs/>
        </w:rPr>
        <w:t>Cl</w:t>
      </w:r>
      <w:r w:rsidR="00977269" w:rsidRPr="00AA67E0">
        <w:rPr>
          <w:i/>
          <w:iCs/>
        </w:rPr>
        <w:t>a</w:t>
      </w:r>
      <w:r w:rsidRPr="00AA67E0">
        <w:rPr>
          <w:i/>
          <w:iCs/>
        </w:rPr>
        <w:t>use 55.02</w:t>
      </w:r>
      <w:r w:rsidR="00EC55BC" w:rsidRPr="00AA67E0">
        <w:rPr>
          <w:i/>
          <w:iCs/>
        </w:rPr>
        <w:t>-2 Residential policy.</w:t>
      </w:r>
    </w:p>
    <w:p w14:paraId="7342BED0" w14:textId="58777165" w:rsidR="00EC55BC" w:rsidRDefault="00EC55BC" w:rsidP="00B84998">
      <w:pPr>
        <w:pStyle w:val="Para1"/>
        <w:numPr>
          <w:ilvl w:val="1"/>
          <w:numId w:val="18"/>
        </w:numPr>
      </w:pPr>
      <w:r w:rsidRPr="00AA67E0">
        <w:rPr>
          <w:i/>
          <w:iCs/>
        </w:rPr>
        <w:t xml:space="preserve">Clause </w:t>
      </w:r>
      <w:r w:rsidR="0013054C" w:rsidRPr="00AA67E0">
        <w:rPr>
          <w:i/>
          <w:iCs/>
        </w:rPr>
        <w:t>55.06-1 Design detail.</w:t>
      </w:r>
    </w:p>
    <w:p w14:paraId="79460CF9" w14:textId="54F88721" w:rsidR="0013054C" w:rsidRDefault="00E2484E" w:rsidP="0013054C">
      <w:pPr>
        <w:pStyle w:val="Para1"/>
        <w:numPr>
          <w:ilvl w:val="0"/>
          <w:numId w:val="18"/>
        </w:numPr>
      </w:pPr>
      <w:r>
        <w:rPr>
          <w:noProof/>
        </w:rPr>
        <w:lastRenderedPageBreak/>
        <w:drawing>
          <wp:anchor distT="0" distB="0" distL="114300" distR="114300" simplePos="0" relativeHeight="251663360" behindDoc="1" locked="0" layoutInCell="1" allowOverlap="1" wp14:anchorId="5D64E8A9" wp14:editId="7FE9D23C">
            <wp:simplePos x="0" y="0"/>
            <wp:positionH relativeFrom="column">
              <wp:posOffset>5183505</wp:posOffset>
            </wp:positionH>
            <wp:positionV relativeFrom="paragraph">
              <wp:posOffset>8459470</wp:posOffset>
            </wp:positionV>
            <wp:extent cx="1080000" cy="1080000"/>
            <wp:effectExtent l="0" t="0" r="6350" b="6350"/>
            <wp:wrapNone/>
            <wp:docPr id="8" name="VCAT Seal6"/>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77269">
        <w:t>Adverse impact on the streetscape</w:t>
      </w:r>
      <w:r w:rsidR="009F7017">
        <w:t>, neighbouring properties and neighbourhood c</w:t>
      </w:r>
      <w:r w:rsidR="00FA424F">
        <w:t>haracter.</w:t>
      </w:r>
    </w:p>
    <w:p w14:paraId="703AA23E" w14:textId="361464D3" w:rsidR="00FA424F" w:rsidRDefault="00FA424F" w:rsidP="0013054C">
      <w:pPr>
        <w:pStyle w:val="Para1"/>
        <w:numPr>
          <w:ilvl w:val="0"/>
          <w:numId w:val="18"/>
        </w:numPr>
      </w:pPr>
      <w:r>
        <w:t>The proposal is an inappropriate design response for the</w:t>
      </w:r>
      <w:r w:rsidR="005E779A">
        <w:t xml:space="preserve"> </w:t>
      </w:r>
      <w:r>
        <w:t>site.</w:t>
      </w:r>
    </w:p>
    <w:p w14:paraId="476CB4BD" w14:textId="2C1D515E" w:rsidR="005E779A" w:rsidRDefault="00D0481A" w:rsidP="005E779A">
      <w:pPr>
        <w:pStyle w:val="Para1"/>
      </w:pPr>
      <w:r>
        <w:t xml:space="preserve">As a result of Council’s consideration of the amended plans, </w:t>
      </w:r>
      <w:r w:rsidR="00BC1240">
        <w:t>concern</w:t>
      </w:r>
      <w:r w:rsidR="00CB513D">
        <w:t>s</w:t>
      </w:r>
      <w:r w:rsidR="00BC1240">
        <w:t xml:space="preserve"> regarding </w:t>
      </w:r>
      <w:r w:rsidR="00F5770B" w:rsidRPr="00AA67E0">
        <w:rPr>
          <w:i/>
          <w:iCs/>
        </w:rPr>
        <w:t xml:space="preserve">Clause 55.04-2 Walls on </w:t>
      </w:r>
      <w:r w:rsidR="00AA67E0" w:rsidRPr="00AA67E0">
        <w:rPr>
          <w:i/>
          <w:iCs/>
        </w:rPr>
        <w:t>boundaries</w:t>
      </w:r>
      <w:r w:rsidR="00AA67E0">
        <w:t xml:space="preserve"> and </w:t>
      </w:r>
      <w:r w:rsidR="00307E80">
        <w:t xml:space="preserve">the design standards relating to </w:t>
      </w:r>
      <w:r w:rsidR="00B412AC">
        <w:t xml:space="preserve">vehicle access and movement at </w:t>
      </w:r>
      <w:r w:rsidR="00B412AC" w:rsidRPr="001B2A48">
        <w:rPr>
          <w:i/>
          <w:iCs/>
        </w:rPr>
        <w:t>Clause 52.06 Car parking</w:t>
      </w:r>
      <w:r w:rsidR="00B412AC">
        <w:t xml:space="preserve"> </w:t>
      </w:r>
      <w:r w:rsidR="001B2A48">
        <w:t xml:space="preserve">are no longer </w:t>
      </w:r>
      <w:r w:rsidR="00DA027F">
        <w:t>contested</w:t>
      </w:r>
      <w:r w:rsidR="001B2A48">
        <w:t>.</w:t>
      </w:r>
      <w:r w:rsidR="00024750">
        <w:t xml:space="preserve"> </w:t>
      </w:r>
    </w:p>
    <w:p w14:paraId="2080C7BD" w14:textId="1FBD3445" w:rsidR="00A47CF2" w:rsidRDefault="00C87310" w:rsidP="005E779A">
      <w:pPr>
        <w:pStyle w:val="Para1"/>
      </w:pPr>
      <w:r>
        <w:t xml:space="preserve">Given the Council position concerning car parking, Mr Crawford for the permit applicant </w:t>
      </w:r>
      <w:r w:rsidR="003351D3">
        <w:t xml:space="preserve">put to me </w:t>
      </w:r>
      <w:r w:rsidR="00D37F1D">
        <w:t xml:space="preserve">that </w:t>
      </w:r>
      <w:r w:rsidR="003351D3">
        <w:t xml:space="preserve">calling </w:t>
      </w:r>
      <w:r w:rsidR="004A357B">
        <w:t xml:space="preserve">traffic evidence is not necessary. </w:t>
      </w:r>
      <w:r w:rsidR="00D268FE">
        <w:t xml:space="preserve">I acknowledge </w:t>
      </w:r>
      <w:r w:rsidR="004813A2">
        <w:t xml:space="preserve">vehicle access and </w:t>
      </w:r>
      <w:r w:rsidR="00622236">
        <w:t xml:space="preserve">vehicle </w:t>
      </w:r>
      <w:r w:rsidR="004813A2">
        <w:t>movement</w:t>
      </w:r>
      <w:r w:rsidR="006C5B7D">
        <w:t xml:space="preserve"> </w:t>
      </w:r>
      <w:r w:rsidR="00012863">
        <w:t>are</w:t>
      </w:r>
      <w:r w:rsidR="006C5B7D">
        <w:t xml:space="preserve"> not contested </w:t>
      </w:r>
      <w:r w:rsidR="00012863">
        <w:t>matters in this proceeding</w:t>
      </w:r>
      <w:r w:rsidR="009606D3">
        <w:t xml:space="preserve">. </w:t>
      </w:r>
      <w:r w:rsidR="00354FD5">
        <w:t>H</w:t>
      </w:r>
      <w:r w:rsidR="00C70F9E">
        <w:t xml:space="preserve">aving read the </w:t>
      </w:r>
      <w:r w:rsidR="00814C35">
        <w:t xml:space="preserve">traffic </w:t>
      </w:r>
      <w:r w:rsidR="00C70F9E">
        <w:t xml:space="preserve">evidence </w:t>
      </w:r>
      <w:r w:rsidR="00D37F1D">
        <w:t xml:space="preserve">prepared by Mr </w:t>
      </w:r>
      <w:r w:rsidR="00814C35">
        <w:t xml:space="preserve">James Dear of One Mile Grid </w:t>
      </w:r>
      <w:r w:rsidR="00C70F9E">
        <w:t xml:space="preserve">prior to the hearing </w:t>
      </w:r>
      <w:r w:rsidR="00EE126D">
        <w:t>and noting the concurrence of the par</w:t>
      </w:r>
      <w:r w:rsidR="00F60F00">
        <w:t xml:space="preserve">ties, </w:t>
      </w:r>
      <w:r w:rsidR="00C70F9E">
        <w:t xml:space="preserve">I </w:t>
      </w:r>
      <w:r w:rsidR="00354FD5">
        <w:t xml:space="preserve">allowed </w:t>
      </w:r>
      <w:r w:rsidR="00290206">
        <w:t>Mr</w:t>
      </w:r>
      <w:r w:rsidR="00354FD5">
        <w:t xml:space="preserve"> Crawford’s request </w:t>
      </w:r>
      <w:r w:rsidR="00877FE0">
        <w:t>not to call traffic evidence</w:t>
      </w:r>
      <w:r w:rsidR="00EE126D">
        <w:t>.</w:t>
      </w:r>
    </w:p>
    <w:p w14:paraId="038B0CB2" w14:textId="0354B89C" w:rsidR="00481A09" w:rsidRDefault="00C617B5" w:rsidP="001632FD">
      <w:pPr>
        <w:pStyle w:val="Para1"/>
      </w:pPr>
      <w:r>
        <w:t xml:space="preserve">The objectors to this proposal </w:t>
      </w:r>
      <w:r w:rsidR="002915CB">
        <w:t>cite a number of concerns that I summarise as</w:t>
      </w:r>
      <w:r w:rsidR="00350582">
        <w:t>;</w:t>
      </w:r>
      <w:r w:rsidR="001632FD">
        <w:t xml:space="preserve"> </w:t>
      </w:r>
      <w:r w:rsidR="002915CB">
        <w:t xml:space="preserve">congestion </w:t>
      </w:r>
      <w:r w:rsidR="00F2051E">
        <w:t>in the street</w:t>
      </w:r>
      <w:r w:rsidR="005F12BD">
        <w:t xml:space="preserve"> </w:t>
      </w:r>
      <w:r w:rsidR="00B40045">
        <w:t xml:space="preserve">due to </w:t>
      </w:r>
      <w:r w:rsidR="002D333D">
        <w:t>an</w:t>
      </w:r>
      <w:r w:rsidR="00B40045">
        <w:t xml:space="preserve"> increase in the number of </w:t>
      </w:r>
      <w:r w:rsidR="005F12BD">
        <w:t>vehic</w:t>
      </w:r>
      <w:r w:rsidR="002D333D">
        <w:t>l</w:t>
      </w:r>
      <w:r w:rsidR="005F12BD">
        <w:t>es</w:t>
      </w:r>
      <w:r w:rsidR="002D333D">
        <w:t xml:space="preserve"> garaged on the site</w:t>
      </w:r>
      <w:r w:rsidR="001632FD">
        <w:t xml:space="preserve">, </w:t>
      </w:r>
      <w:r w:rsidR="00B40045">
        <w:t xml:space="preserve">noise from the additional dwellings </w:t>
      </w:r>
      <w:r w:rsidR="00E726D7">
        <w:t>and neighbourhood character</w:t>
      </w:r>
      <w:r w:rsidR="003D00E5">
        <w:t xml:space="preserve">. The </w:t>
      </w:r>
      <w:r w:rsidR="002E4FC5">
        <w:t>specific neighbourhood character concern</w:t>
      </w:r>
      <w:r w:rsidR="00940FBE">
        <w:t xml:space="preserve"> is</w:t>
      </w:r>
      <w:r w:rsidR="00E726D7">
        <w:t xml:space="preserve"> the contrast </w:t>
      </w:r>
      <w:r w:rsidR="007F5C55">
        <w:t xml:space="preserve">in size and style </w:t>
      </w:r>
      <w:r w:rsidR="00E726D7">
        <w:t xml:space="preserve">between </w:t>
      </w:r>
      <w:r w:rsidR="00B503A6">
        <w:t>the proposed development</w:t>
      </w:r>
      <w:r w:rsidR="00BF6CA7">
        <w:t xml:space="preserve"> and the </w:t>
      </w:r>
      <w:r w:rsidR="00940FBE">
        <w:t xml:space="preserve">character of the </w:t>
      </w:r>
      <w:r w:rsidR="00BF6CA7">
        <w:t>existing streetscape</w:t>
      </w:r>
      <w:r w:rsidR="00B503A6">
        <w:t>.</w:t>
      </w:r>
      <w:r w:rsidR="007F5C55">
        <w:t xml:space="preserve"> </w:t>
      </w:r>
    </w:p>
    <w:p w14:paraId="53676194" w14:textId="23E7ACCF" w:rsidR="00B01DCA" w:rsidRDefault="00C80254" w:rsidP="001632FD">
      <w:pPr>
        <w:pStyle w:val="Para1"/>
      </w:pPr>
      <w:r>
        <w:t>The</w:t>
      </w:r>
      <w:r w:rsidR="007F5C55">
        <w:t xml:space="preserve"> </w:t>
      </w:r>
      <w:r w:rsidR="005C5444">
        <w:t xml:space="preserve">particular concern </w:t>
      </w:r>
      <w:r w:rsidR="00BF030F">
        <w:t xml:space="preserve">of one objector </w:t>
      </w:r>
      <w:r w:rsidR="005C5444">
        <w:t xml:space="preserve">is the potential for overlooking </w:t>
      </w:r>
      <w:r w:rsidR="008B0F55">
        <w:t xml:space="preserve">to the south </w:t>
      </w:r>
      <w:r w:rsidR="005C5444">
        <w:t xml:space="preserve">from the upper level </w:t>
      </w:r>
      <w:r w:rsidR="00543A7C">
        <w:t xml:space="preserve">of proposed dwellings 3 and 4 </w:t>
      </w:r>
      <w:r w:rsidR="00DF4FD2">
        <w:t>toward the private open space of the adjoining dwelling.</w:t>
      </w:r>
      <w:r w:rsidR="00137960">
        <w:t xml:space="preserve"> </w:t>
      </w:r>
    </w:p>
    <w:p w14:paraId="05C803A3" w14:textId="4A6AB862" w:rsidR="00BF6CA7" w:rsidRDefault="00290044" w:rsidP="001632FD">
      <w:pPr>
        <w:pStyle w:val="Para1"/>
      </w:pPr>
      <w:r>
        <w:t>In his</w:t>
      </w:r>
      <w:r w:rsidR="00F41CD8">
        <w:t xml:space="preserve"> </w:t>
      </w:r>
      <w:r w:rsidR="006B26DF">
        <w:t xml:space="preserve">submission for </w:t>
      </w:r>
      <w:r w:rsidR="00373CFB">
        <w:t xml:space="preserve">the </w:t>
      </w:r>
      <w:r w:rsidR="00F41CD8">
        <w:t>permit applicant</w:t>
      </w:r>
      <w:r>
        <w:t>, Mr Crawford</w:t>
      </w:r>
      <w:r w:rsidR="00F41CD8">
        <w:t xml:space="preserve"> </w:t>
      </w:r>
      <w:r w:rsidR="00373CFB">
        <w:t>explains</w:t>
      </w:r>
      <w:r w:rsidR="005C2D10">
        <w:t xml:space="preserve"> the amended plans</w:t>
      </w:r>
      <w:r w:rsidR="00655278">
        <w:t>;</w:t>
      </w:r>
    </w:p>
    <w:p w14:paraId="38C9C621" w14:textId="07377FB3" w:rsidR="003A5C70" w:rsidRDefault="003A5C70" w:rsidP="003A5C70">
      <w:pPr>
        <w:pStyle w:val="Quote1"/>
      </w:pPr>
      <w:r>
        <w:t>..</w:t>
      </w:r>
      <w:r w:rsidRPr="003A5C70">
        <w:t xml:space="preserve"> have</w:t>
      </w:r>
      <w:r w:rsidR="009939E8">
        <w:t xml:space="preserve"> </w:t>
      </w:r>
      <w:r w:rsidRPr="003A5C70">
        <w:t>altered</w:t>
      </w:r>
      <w:r w:rsidR="009939E8">
        <w:t xml:space="preserve"> </w:t>
      </w:r>
      <w:r w:rsidRPr="003A5C70">
        <w:t>driveway</w:t>
      </w:r>
      <w:r w:rsidR="009939E8">
        <w:t xml:space="preserve"> </w:t>
      </w:r>
      <w:r w:rsidRPr="003A5C70">
        <w:t>gradients,</w:t>
      </w:r>
      <w:r w:rsidR="009939E8">
        <w:t xml:space="preserve"> </w:t>
      </w:r>
      <w:r w:rsidRPr="003A5C70">
        <w:t>increased</w:t>
      </w:r>
      <w:r w:rsidR="009939E8">
        <w:t xml:space="preserve"> </w:t>
      </w:r>
      <w:r w:rsidRPr="003A5C70">
        <w:t>the</w:t>
      </w:r>
      <w:r w:rsidR="009939E8">
        <w:t xml:space="preserve"> </w:t>
      </w:r>
      <w:r w:rsidRPr="003A5C70">
        <w:t>size</w:t>
      </w:r>
      <w:r w:rsidR="009939E8">
        <w:t xml:space="preserve"> </w:t>
      </w:r>
      <w:r w:rsidRPr="003A5C70">
        <w:t>of the garage to Dwelling 4, reduced the ground floor size of Dwellings 2-4 (and</w:t>
      </w:r>
      <w:r w:rsidR="009939E8">
        <w:t xml:space="preserve"> </w:t>
      </w:r>
      <w:r w:rsidRPr="003A5C70">
        <w:t>thus</w:t>
      </w:r>
      <w:r w:rsidR="009939E8">
        <w:t xml:space="preserve"> </w:t>
      </w:r>
      <w:r w:rsidRPr="003A5C70">
        <w:t>increased</w:t>
      </w:r>
      <w:r w:rsidR="009939E8">
        <w:t xml:space="preserve"> </w:t>
      </w:r>
      <w:r w:rsidRPr="003A5C70">
        <w:t>POS),</w:t>
      </w:r>
      <w:r w:rsidR="009939E8">
        <w:t xml:space="preserve"> </w:t>
      </w:r>
      <w:r w:rsidRPr="003A5C70">
        <w:t>reduced</w:t>
      </w:r>
      <w:r w:rsidR="009939E8">
        <w:t xml:space="preserve"> </w:t>
      </w:r>
      <w:r w:rsidRPr="003A5C70">
        <w:t>the</w:t>
      </w:r>
      <w:r w:rsidR="009939E8">
        <w:t xml:space="preserve"> </w:t>
      </w:r>
      <w:r w:rsidRPr="003A5C70">
        <w:t>first</w:t>
      </w:r>
      <w:r w:rsidR="009939E8">
        <w:t xml:space="preserve"> </w:t>
      </w:r>
      <w:r w:rsidRPr="003A5C70">
        <w:t>floor</w:t>
      </w:r>
      <w:r w:rsidR="009939E8">
        <w:t xml:space="preserve"> </w:t>
      </w:r>
      <w:r w:rsidRPr="003A5C70">
        <w:t>footprints</w:t>
      </w:r>
      <w:r w:rsidR="009939E8">
        <w:t xml:space="preserve"> </w:t>
      </w:r>
      <w:r w:rsidRPr="003A5C70">
        <w:t>for</w:t>
      </w:r>
      <w:r w:rsidR="009939E8">
        <w:t xml:space="preserve"> </w:t>
      </w:r>
      <w:r w:rsidRPr="003A5C70">
        <w:t>Dwellings 2- 4, altered elevations, reduced site coverage, increased permeability and garden area and illustrated the approved development at 12 Oak Hill Road. These changes have been designed to address the Scheme, some of Council's concerns identified in its (later issued) grounds of refusal, and the objector statement of grounds.</w:t>
      </w:r>
    </w:p>
    <w:p w14:paraId="160D1DDF" w14:textId="29BD31EB" w:rsidR="0010564C" w:rsidRDefault="00167A54" w:rsidP="009B2A64">
      <w:pPr>
        <w:pStyle w:val="Para1"/>
      </w:pPr>
      <w:r>
        <w:t xml:space="preserve">In support of the </w:t>
      </w:r>
      <w:r w:rsidR="00F04C9F">
        <w:t xml:space="preserve">proposal, </w:t>
      </w:r>
      <w:r w:rsidR="00C930A0">
        <w:t>Mr Crawford</w:t>
      </w:r>
      <w:r w:rsidR="00290044">
        <w:t xml:space="preserve"> </w:t>
      </w:r>
      <w:r w:rsidR="00452D7E">
        <w:t>concludes</w:t>
      </w:r>
      <w:r w:rsidR="0010564C">
        <w:t>:</w:t>
      </w:r>
    </w:p>
    <w:p w14:paraId="1B9AC1BE" w14:textId="4DE4651F" w:rsidR="00452D7E" w:rsidRDefault="00452D7E" w:rsidP="00452D7E">
      <w:pPr>
        <w:pStyle w:val="Quote1"/>
      </w:pPr>
      <w:r>
        <w:t xml:space="preserve">The </w:t>
      </w:r>
      <w:r w:rsidR="00BA6474">
        <w:t>p</w:t>
      </w:r>
      <w:r>
        <w:t xml:space="preserve">roposal will present an appropriate built form and significantly improved landscape response to the </w:t>
      </w:r>
      <w:r w:rsidR="00F04C9F">
        <w:t>l</w:t>
      </w:r>
      <w:r>
        <w:t>and, thereby implementing and achieving Council's garden character objectives.</w:t>
      </w:r>
    </w:p>
    <w:p w14:paraId="7D3D3D81" w14:textId="122B289F" w:rsidR="00310E1D" w:rsidRDefault="00452D7E" w:rsidP="0069177A">
      <w:pPr>
        <w:pStyle w:val="Quote1"/>
      </w:pPr>
      <w:r>
        <w:t xml:space="preserve">The </w:t>
      </w:r>
      <w:r w:rsidR="00BA6474">
        <w:t>p</w:t>
      </w:r>
      <w:r>
        <w:t>roposal provides compliant site coverage, does not unreasonably</w:t>
      </w:r>
      <w:r w:rsidR="00015232">
        <w:t xml:space="preserve"> </w:t>
      </w:r>
      <w:r>
        <w:t>overshadow its neighbours, and provides appropriate private open space</w:t>
      </w:r>
      <w:r w:rsidR="00015232">
        <w:t xml:space="preserve"> </w:t>
      </w:r>
      <w:r>
        <w:t>directly accessible from habitable rooms of the proposed dwellings. There</w:t>
      </w:r>
      <w:r w:rsidR="00015232">
        <w:t xml:space="preserve"> </w:t>
      </w:r>
      <w:r>
        <w:t xml:space="preserve">is also ample room for landscaping. The </w:t>
      </w:r>
      <w:r w:rsidR="00BA6474">
        <w:t>p</w:t>
      </w:r>
      <w:r>
        <w:t>roposal is an appropriate</w:t>
      </w:r>
      <w:r w:rsidR="00015232">
        <w:t xml:space="preserve"> </w:t>
      </w:r>
      <w:r>
        <w:t xml:space="preserve">response to both the strategic and physical context of the </w:t>
      </w:r>
      <w:r w:rsidR="00BA6474">
        <w:t>l</w:t>
      </w:r>
      <w:r>
        <w:t>and</w:t>
      </w:r>
      <w:r w:rsidR="00015232">
        <w:t>.</w:t>
      </w:r>
    </w:p>
    <w:p w14:paraId="16E399B9" w14:textId="702A9318" w:rsidR="00E200CF" w:rsidRDefault="00E2484E" w:rsidP="00E200CF">
      <w:pPr>
        <w:pStyle w:val="Heading2"/>
      </w:pPr>
      <w:r>
        <w:rPr>
          <w:noProof/>
        </w:rPr>
        <w:lastRenderedPageBreak/>
        <w:drawing>
          <wp:anchor distT="0" distB="0" distL="114300" distR="114300" simplePos="0" relativeHeight="251664384" behindDoc="1" locked="0" layoutInCell="1" allowOverlap="1" wp14:anchorId="2C59E22D" wp14:editId="5BE1C19F">
            <wp:simplePos x="0" y="0"/>
            <wp:positionH relativeFrom="column">
              <wp:posOffset>5183505</wp:posOffset>
            </wp:positionH>
            <wp:positionV relativeFrom="paragraph">
              <wp:posOffset>8459470</wp:posOffset>
            </wp:positionV>
            <wp:extent cx="1080000" cy="1080000"/>
            <wp:effectExtent l="0" t="0" r="6350" b="6350"/>
            <wp:wrapNone/>
            <wp:docPr id="9" name="VCAT Seal7"/>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What are the key issues?</w:t>
      </w:r>
    </w:p>
    <w:p w14:paraId="348CFAA4" w14:textId="778C757E" w:rsidR="00E200CF" w:rsidRDefault="00763454" w:rsidP="00E200CF">
      <w:pPr>
        <w:pStyle w:val="Para1"/>
      </w:pPr>
      <w:r>
        <w:t xml:space="preserve">I consider </w:t>
      </w:r>
      <w:r w:rsidR="00C74A4F">
        <w:t>t</w:t>
      </w:r>
      <w:r w:rsidR="00847C73">
        <w:t xml:space="preserve">he key questions </w:t>
      </w:r>
      <w:r w:rsidR="00417065">
        <w:t>to be answered in</w:t>
      </w:r>
      <w:r w:rsidR="00620D3A">
        <w:t xml:space="preserve"> my </w:t>
      </w:r>
      <w:r w:rsidR="00847C73">
        <w:t>determination</w:t>
      </w:r>
      <w:r w:rsidR="00A5790A">
        <w:t xml:space="preserve"> </w:t>
      </w:r>
      <w:r w:rsidR="000C590B">
        <w:t>of</w:t>
      </w:r>
      <w:r w:rsidR="00A5790A">
        <w:t xml:space="preserve"> this </w:t>
      </w:r>
      <w:r w:rsidR="00F879E4">
        <w:t>matter</w:t>
      </w:r>
      <w:r w:rsidR="00A5790A">
        <w:t xml:space="preserve"> are</w:t>
      </w:r>
      <w:r w:rsidR="00417065">
        <w:t>:</w:t>
      </w:r>
    </w:p>
    <w:p w14:paraId="1903B1FE" w14:textId="136502B4" w:rsidR="00417065" w:rsidRDefault="00B7043A" w:rsidP="00417065">
      <w:pPr>
        <w:pStyle w:val="Para1"/>
        <w:numPr>
          <w:ilvl w:val="0"/>
          <w:numId w:val="20"/>
        </w:numPr>
      </w:pPr>
      <w:r>
        <w:t xml:space="preserve">Does planning policy support </w:t>
      </w:r>
      <w:r w:rsidR="00564F68">
        <w:t>increased housing at the location of the subject land?</w:t>
      </w:r>
      <w:r w:rsidR="00862D78">
        <w:t xml:space="preserve"> </w:t>
      </w:r>
    </w:p>
    <w:p w14:paraId="2525702E" w14:textId="6F40DA73" w:rsidR="00564F68" w:rsidRDefault="00CC1C3F" w:rsidP="00417065">
      <w:pPr>
        <w:pStyle w:val="Para1"/>
        <w:numPr>
          <w:ilvl w:val="0"/>
          <w:numId w:val="20"/>
        </w:numPr>
      </w:pPr>
      <w:r>
        <w:t xml:space="preserve">Will the proposed development meet the </w:t>
      </w:r>
      <w:r w:rsidR="0044281E">
        <w:t>purpose and decision guidelines of the General Residential Zone</w:t>
      </w:r>
      <w:r w:rsidR="004E7927">
        <w:t>, and in particular, Schedule 3 to the zone?</w:t>
      </w:r>
    </w:p>
    <w:p w14:paraId="2032D255" w14:textId="45B994C9" w:rsidR="0095285B" w:rsidRDefault="001503B6" w:rsidP="00417065">
      <w:pPr>
        <w:pStyle w:val="Para1"/>
        <w:numPr>
          <w:ilvl w:val="0"/>
          <w:numId w:val="20"/>
        </w:numPr>
      </w:pPr>
      <w:r>
        <w:t xml:space="preserve">Does the proposed design provide an acceptable response to the </w:t>
      </w:r>
      <w:r w:rsidR="009070E7">
        <w:t>applicable design guidelines at Clause 55 (ResCode</w:t>
      </w:r>
      <w:r w:rsidR="003462BC">
        <w:t>)</w:t>
      </w:r>
      <w:r w:rsidR="009070E7">
        <w:t>?</w:t>
      </w:r>
    </w:p>
    <w:p w14:paraId="0B774D03" w14:textId="25AD5BB9" w:rsidR="00862D78" w:rsidRDefault="00CB583B" w:rsidP="00862D78">
      <w:pPr>
        <w:pStyle w:val="Para1"/>
      </w:pPr>
      <w:r>
        <w:t xml:space="preserve">The Tribunal must decide whether a permit should be granted and, if so, what conditions should be applied.  Having considered all submissions and evidence presented with regard to the applicable policies and provisions of the </w:t>
      </w:r>
      <w:r w:rsidR="003128BF">
        <w:t>Monash</w:t>
      </w:r>
      <w:r>
        <w:t xml:space="preserve"> Planning Scheme, </w:t>
      </w:r>
      <w:r w:rsidRPr="00F7088F">
        <w:t xml:space="preserve">I </w:t>
      </w:r>
      <w:r w:rsidR="00BF02EF">
        <w:t>find the scale</w:t>
      </w:r>
      <w:r w:rsidR="00C96812">
        <w:t xml:space="preserve">, </w:t>
      </w:r>
      <w:r w:rsidR="00BF02EF">
        <w:t xml:space="preserve">repetitive style </w:t>
      </w:r>
      <w:r w:rsidR="00C96812">
        <w:t>and the use of sheer walls</w:t>
      </w:r>
      <w:r w:rsidR="00C37B8B">
        <w:t xml:space="preserve"> for all four dwellings </w:t>
      </w:r>
      <w:r w:rsidR="00FF4412">
        <w:t xml:space="preserve">fails to </w:t>
      </w:r>
      <w:r w:rsidR="003E12B3">
        <w:t>respect the character of this part of Mount Waverley.</w:t>
      </w:r>
      <w:r w:rsidR="000F3967">
        <w:t xml:space="preserve"> </w:t>
      </w:r>
      <w:r w:rsidR="00F8101D">
        <w:t xml:space="preserve">In terms of housing policy, </w:t>
      </w:r>
      <w:r w:rsidR="00A205DC">
        <w:t xml:space="preserve">I consider the </w:t>
      </w:r>
      <w:r w:rsidR="009C590E">
        <w:t xml:space="preserve">dwellings </w:t>
      </w:r>
      <w:r w:rsidR="00043D81">
        <w:t>also fail</w:t>
      </w:r>
      <w:r w:rsidR="00A205DC">
        <w:t xml:space="preserve"> </w:t>
      </w:r>
      <w:r w:rsidR="003E289F">
        <w:t>to contribute</w:t>
      </w:r>
      <w:r w:rsidR="00A205DC">
        <w:t xml:space="preserve"> </w:t>
      </w:r>
      <w:r w:rsidR="00CB480F">
        <w:t xml:space="preserve">to </w:t>
      </w:r>
      <w:r w:rsidR="00A205DC">
        <w:t>the</w:t>
      </w:r>
      <w:r w:rsidR="00E53FC9">
        <w:t xml:space="preserve"> strategic objective </w:t>
      </w:r>
      <w:r w:rsidR="00CB480F">
        <w:t>for</w:t>
      </w:r>
      <w:r w:rsidR="0099730F">
        <w:t xml:space="preserve"> greater</w:t>
      </w:r>
      <w:r w:rsidR="00E53FC9">
        <w:t xml:space="preserve"> housing diversity</w:t>
      </w:r>
      <w:r w:rsidR="0099730F">
        <w:t xml:space="preserve">. I </w:t>
      </w:r>
      <w:r w:rsidRPr="00F7088F">
        <w:t xml:space="preserve">have </w:t>
      </w:r>
      <w:r w:rsidR="00CB480F">
        <w:t xml:space="preserve">therefore </w:t>
      </w:r>
      <w:r w:rsidRPr="00F7088F">
        <w:t xml:space="preserve">decided to </w:t>
      </w:r>
      <w:r w:rsidR="00F7088F" w:rsidRPr="00F7088F">
        <w:t>affirm</w:t>
      </w:r>
      <w:r w:rsidRPr="00F7088F">
        <w:t xml:space="preserve"> the Council decision and </w:t>
      </w:r>
      <w:r w:rsidR="00F7088F" w:rsidRPr="00F7088F">
        <w:t>refuse</w:t>
      </w:r>
      <w:r w:rsidRPr="00F7088F">
        <w:t xml:space="preserve"> a permit.  My reasons follow.</w:t>
      </w:r>
      <w:r w:rsidR="003128BF" w:rsidRPr="00F7088F">
        <w:t xml:space="preserve"> </w:t>
      </w:r>
    </w:p>
    <w:p w14:paraId="1F783468" w14:textId="4AEE22D1" w:rsidR="00E200CF" w:rsidRDefault="009E71DB" w:rsidP="00E200CF">
      <w:pPr>
        <w:pStyle w:val="Heading2"/>
      </w:pPr>
      <w:r>
        <w:t>Does planning policy support increased housing at the location of the subject land?</w:t>
      </w:r>
      <w:r w:rsidR="00E200CF">
        <w:t xml:space="preserve"> </w:t>
      </w:r>
    </w:p>
    <w:p w14:paraId="20C460FA" w14:textId="2EB6AE11" w:rsidR="00F012A0" w:rsidRDefault="00753F29" w:rsidP="00E200CF">
      <w:pPr>
        <w:pStyle w:val="Para1"/>
      </w:pPr>
      <w:r>
        <w:t xml:space="preserve">The </w:t>
      </w:r>
      <w:r w:rsidR="00A7054F">
        <w:t xml:space="preserve">Planning Policy Framework </w:t>
      </w:r>
      <w:r w:rsidR="00A679E5">
        <w:t xml:space="preserve">at Clause 15.01 </w:t>
      </w:r>
      <w:r w:rsidR="00A7054F">
        <w:t xml:space="preserve">contains </w:t>
      </w:r>
      <w:r w:rsidR="00825B07">
        <w:t xml:space="preserve">design strategies for </w:t>
      </w:r>
      <w:r w:rsidR="00FA3E91">
        <w:t xml:space="preserve">urban areas that focus on </w:t>
      </w:r>
      <w:r w:rsidR="005B7CD0">
        <w:t xml:space="preserve">new development responding to </w:t>
      </w:r>
      <w:r w:rsidR="00FA3E91">
        <w:t xml:space="preserve">the </w:t>
      </w:r>
      <w:r w:rsidR="005D42C8">
        <w:t xml:space="preserve">context </w:t>
      </w:r>
      <w:r w:rsidR="00F5306F">
        <w:t xml:space="preserve">of </w:t>
      </w:r>
      <w:r w:rsidR="00DD1E14">
        <w:t xml:space="preserve">the surroundings in terms </w:t>
      </w:r>
      <w:r w:rsidR="004F127D">
        <w:t xml:space="preserve">of </w:t>
      </w:r>
      <w:r w:rsidR="00982967">
        <w:t>“</w:t>
      </w:r>
      <w:r w:rsidR="00DD1E14">
        <w:t xml:space="preserve">character, </w:t>
      </w:r>
      <w:r w:rsidR="00982967">
        <w:t xml:space="preserve">cultural identity, </w:t>
      </w:r>
      <w:r w:rsidR="00361B88">
        <w:t>natural features</w:t>
      </w:r>
      <w:r w:rsidR="00E165D7">
        <w:t>, surrounding</w:t>
      </w:r>
      <w:r w:rsidR="00361B88">
        <w:t xml:space="preserve"> landscape</w:t>
      </w:r>
      <w:r w:rsidR="0094680D">
        <w:t xml:space="preserve"> and climate</w:t>
      </w:r>
      <w:r w:rsidR="008A11A2">
        <w:t>”</w:t>
      </w:r>
      <w:r w:rsidR="00361B88">
        <w:t>.</w:t>
      </w:r>
      <w:r w:rsidR="005D42C8">
        <w:t xml:space="preserve"> </w:t>
      </w:r>
      <w:r w:rsidR="00F27B07">
        <w:t>F</w:t>
      </w:r>
      <w:r w:rsidR="00452D46">
        <w:t>or buildings, the emp</w:t>
      </w:r>
      <w:r w:rsidR="00233ADE">
        <w:t>hasis is on site analysis,</w:t>
      </w:r>
      <w:r w:rsidR="0090649F">
        <w:t xml:space="preserve"> taking into consideration</w:t>
      </w:r>
      <w:r w:rsidR="007C2C5C">
        <w:t xml:space="preserve"> the </w:t>
      </w:r>
      <w:r w:rsidR="009A3B58">
        <w:t xml:space="preserve">strategic and cultural </w:t>
      </w:r>
      <w:r w:rsidR="007C2C5C">
        <w:t xml:space="preserve">context </w:t>
      </w:r>
      <w:r w:rsidR="009A3B58">
        <w:t>of a site</w:t>
      </w:r>
      <w:r w:rsidR="00090F12">
        <w:t xml:space="preserve"> when considering </w:t>
      </w:r>
      <w:r w:rsidR="00F012A0">
        <w:t>“</w:t>
      </w:r>
      <w:r w:rsidR="00090F12">
        <w:t>height</w:t>
      </w:r>
      <w:r w:rsidR="00F012A0">
        <w:t>, scale and massing of new development”.</w:t>
      </w:r>
      <w:r w:rsidR="00090F12">
        <w:t xml:space="preserve"> </w:t>
      </w:r>
      <w:r w:rsidR="007C2C5C">
        <w:t xml:space="preserve"> </w:t>
      </w:r>
    </w:p>
    <w:p w14:paraId="4DA515D6" w14:textId="77777777" w:rsidR="00B97ABF" w:rsidRDefault="005A39C9" w:rsidP="00E200CF">
      <w:pPr>
        <w:pStyle w:val="Para1"/>
      </w:pPr>
      <w:r>
        <w:t>T</w:t>
      </w:r>
      <w:r w:rsidR="00B65D80">
        <w:t xml:space="preserve">he </w:t>
      </w:r>
      <w:r w:rsidR="00165022">
        <w:t>neighbourhood character</w:t>
      </w:r>
      <w:r w:rsidR="00DE7BC4">
        <w:t xml:space="preserve"> </w:t>
      </w:r>
      <w:r w:rsidR="00B65D80">
        <w:t>strategy at Clause 15.01</w:t>
      </w:r>
      <w:r w:rsidR="0024588F">
        <w:t>-</w:t>
      </w:r>
      <w:r w:rsidR="00341437">
        <w:t>5</w:t>
      </w:r>
      <w:r w:rsidR="0063256C">
        <w:t>S</w:t>
      </w:r>
      <w:r w:rsidR="00044FFB">
        <w:t xml:space="preserve"> </w:t>
      </w:r>
      <w:r w:rsidR="005F3D83">
        <w:t>refers to</w:t>
      </w:r>
      <w:r w:rsidR="00272B19">
        <w:t xml:space="preserve"> the contribution new development makes to the </w:t>
      </w:r>
      <w:r w:rsidR="00F86097">
        <w:t>existing or preferred neighbourhood character.</w:t>
      </w:r>
      <w:r w:rsidR="005F3D83">
        <w:t xml:space="preserve"> Of particular importance </w:t>
      </w:r>
      <w:r w:rsidR="004C299F">
        <w:t>is the strategy to</w:t>
      </w:r>
      <w:r w:rsidR="00B97ABF">
        <w:t>:</w:t>
      </w:r>
    </w:p>
    <w:p w14:paraId="5F2AEA88" w14:textId="15FCEFF7" w:rsidR="005C6A70" w:rsidRDefault="00B97ABF" w:rsidP="00B97ABF">
      <w:pPr>
        <w:pStyle w:val="Quote1"/>
      </w:pPr>
      <w:r w:rsidRPr="00B97ABF">
        <w:t>Ensure development responds to its context and reinforces a sense of place and the valued features and characteristics of the local environment</w:t>
      </w:r>
      <w:r>
        <w:t>...</w:t>
      </w:r>
      <w:r w:rsidR="004C299F">
        <w:t xml:space="preserve"> </w:t>
      </w:r>
      <w:r w:rsidR="007A71F4">
        <w:t xml:space="preserve"> </w:t>
      </w:r>
      <w:r w:rsidR="005C6A70">
        <w:t xml:space="preserve"> </w:t>
      </w:r>
    </w:p>
    <w:p w14:paraId="693E3D51" w14:textId="77777777" w:rsidR="00017B78" w:rsidRDefault="005B3BF3" w:rsidP="006D2072">
      <w:pPr>
        <w:pStyle w:val="Para1"/>
      </w:pPr>
      <w:r>
        <w:t xml:space="preserve">Oak Hill Road in Mount Waverley is in the northern part of the Monash municipality, with good access to commercial, education and health facilities and convenient access to public transport. </w:t>
      </w:r>
      <w:r w:rsidR="00B1005C">
        <w:t xml:space="preserve">The site at </w:t>
      </w:r>
      <w:r w:rsidR="00955CFA">
        <w:t xml:space="preserve">number </w:t>
      </w:r>
      <w:r w:rsidR="00B1005C">
        <w:t xml:space="preserve">14-16 </w:t>
      </w:r>
      <w:r w:rsidR="009E666C">
        <w:t>has</w:t>
      </w:r>
      <w:r w:rsidR="00955CFA">
        <w:t xml:space="preserve"> an </w:t>
      </w:r>
      <w:r>
        <w:t>area of 1,481m</w:t>
      </w:r>
      <w:r>
        <w:rPr>
          <w:vertAlign w:val="superscript"/>
        </w:rPr>
        <w:t>2</w:t>
      </w:r>
      <w:r w:rsidR="00955CFA">
        <w:t xml:space="preserve"> that </w:t>
      </w:r>
      <w:r w:rsidR="00AE0902">
        <w:t xml:space="preserve">could </w:t>
      </w:r>
      <w:r w:rsidR="00370314">
        <w:t xml:space="preserve">accommodate </w:t>
      </w:r>
      <w:r>
        <w:t>a range of housing options</w:t>
      </w:r>
      <w:r w:rsidR="00BE3D93">
        <w:t>. B</w:t>
      </w:r>
      <w:r>
        <w:t>eing in the General Residential Zone, there is the opportunity for a diversity of housing types, albeit constrained within Schedule 3 by the objective to “minimise building mass and visual bulk within the streetscape”.</w:t>
      </w:r>
      <w:r w:rsidR="00BE3D93">
        <w:t xml:space="preserve"> </w:t>
      </w:r>
    </w:p>
    <w:p w14:paraId="3E71D822" w14:textId="3BA53C4B" w:rsidR="0097767B" w:rsidRDefault="00E2484E" w:rsidP="006D2072">
      <w:pPr>
        <w:pStyle w:val="Para1"/>
      </w:pPr>
      <w:r>
        <w:rPr>
          <w:noProof/>
        </w:rPr>
        <w:lastRenderedPageBreak/>
        <w:drawing>
          <wp:anchor distT="0" distB="0" distL="114300" distR="114300" simplePos="0" relativeHeight="251665408" behindDoc="1" locked="0" layoutInCell="1" allowOverlap="1" wp14:anchorId="4D06E33C" wp14:editId="639CE8AC">
            <wp:simplePos x="0" y="0"/>
            <wp:positionH relativeFrom="column">
              <wp:posOffset>5183505</wp:posOffset>
            </wp:positionH>
            <wp:positionV relativeFrom="paragraph">
              <wp:posOffset>8459470</wp:posOffset>
            </wp:positionV>
            <wp:extent cx="1080000" cy="1080000"/>
            <wp:effectExtent l="0" t="0" r="6350" b="6350"/>
            <wp:wrapNone/>
            <wp:docPr id="10" name="VCAT Seal8"/>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23C66">
        <w:t xml:space="preserve">This is a site </w:t>
      </w:r>
      <w:r w:rsidR="006D2072">
        <w:t xml:space="preserve">well positioned to meet the </w:t>
      </w:r>
      <w:r w:rsidR="00C2670A">
        <w:t>20 minute</w:t>
      </w:r>
      <w:r w:rsidR="0047777E">
        <w:t xml:space="preserve"> neighbourhood concept </w:t>
      </w:r>
      <w:r w:rsidR="00DA0A41">
        <w:t xml:space="preserve">described at </w:t>
      </w:r>
      <w:r w:rsidR="00E81DBA">
        <w:t>Clause 15.01-4R</w:t>
      </w:r>
      <w:r w:rsidR="0048614B">
        <w:t xml:space="preserve"> to;</w:t>
      </w:r>
    </w:p>
    <w:p w14:paraId="5D4A75A7" w14:textId="6DBBB722" w:rsidR="0048614B" w:rsidRDefault="0048614B" w:rsidP="0048614B">
      <w:pPr>
        <w:pStyle w:val="Quote1"/>
      </w:pPr>
      <w:r>
        <w:t>..</w:t>
      </w:r>
      <w:r w:rsidRPr="0048614B">
        <w:t xml:space="preserve"> give people the ability to meet most of their everyday needs within a 20 minute walk, cycle or local public transport trip from their home.</w:t>
      </w:r>
    </w:p>
    <w:p w14:paraId="084EE766" w14:textId="179144EC" w:rsidR="005C44D5" w:rsidRDefault="008F665A" w:rsidP="005C44D5">
      <w:pPr>
        <w:pStyle w:val="Para1"/>
      </w:pPr>
      <w:r>
        <w:t>I find that planning policy in the Mo</w:t>
      </w:r>
      <w:r w:rsidR="008C44D8">
        <w:t xml:space="preserve">nash Planning Scheme supports the </w:t>
      </w:r>
      <w:r w:rsidR="00675DA8">
        <w:t xml:space="preserve">location and size of </w:t>
      </w:r>
      <w:r w:rsidR="008C44D8">
        <w:t>subject land</w:t>
      </w:r>
      <w:r w:rsidR="00823F9B">
        <w:t xml:space="preserve"> </w:t>
      </w:r>
      <w:r w:rsidR="00A55980">
        <w:t>for increased housing</w:t>
      </w:r>
      <w:r w:rsidR="00572943">
        <w:t>, backed by</w:t>
      </w:r>
      <w:r w:rsidR="00557F56">
        <w:t xml:space="preserve"> </w:t>
      </w:r>
      <w:r w:rsidR="00731464">
        <w:t>a p</w:t>
      </w:r>
      <w:r w:rsidR="006C5165">
        <w:t xml:space="preserve">olicy preference </w:t>
      </w:r>
      <w:r w:rsidR="00FD0FCB">
        <w:t xml:space="preserve">at </w:t>
      </w:r>
      <w:r w:rsidR="009E7BA2">
        <w:t>Clause</w:t>
      </w:r>
      <w:r w:rsidR="00AA57B8">
        <w:t xml:space="preserve"> 21.04-2 </w:t>
      </w:r>
      <w:r w:rsidR="008459D1">
        <w:t>for more diverse forms of housing</w:t>
      </w:r>
      <w:r w:rsidR="006C5165">
        <w:t xml:space="preserve"> </w:t>
      </w:r>
      <w:r w:rsidR="00D5435E">
        <w:t xml:space="preserve">to contribute to </w:t>
      </w:r>
      <w:r w:rsidR="00760D89">
        <w:t xml:space="preserve">the </w:t>
      </w:r>
      <w:r w:rsidR="00CE5735">
        <w:t>forecast housi</w:t>
      </w:r>
      <w:r w:rsidR="003647B2">
        <w:t xml:space="preserve">ng growth in Monash </w:t>
      </w:r>
      <w:r w:rsidR="00906A6C">
        <w:t xml:space="preserve">of approximately 12,000 dwellings to </w:t>
      </w:r>
      <w:r w:rsidR="008D088D">
        <w:t xml:space="preserve">reach a  total of </w:t>
      </w:r>
      <w:r w:rsidR="00906A6C">
        <w:t>82,000 dwellings by 2031.</w:t>
      </w:r>
    </w:p>
    <w:p w14:paraId="677688F5" w14:textId="3F244637" w:rsidR="00E200CF" w:rsidRDefault="009E71DB" w:rsidP="00E200CF">
      <w:pPr>
        <w:pStyle w:val="Heading2"/>
      </w:pPr>
      <w:r>
        <w:t>Will the proposed development meet the purpose and decision guidelines of the General Residential Zone, and in particular, Schedule 3 to the zone?</w:t>
      </w:r>
      <w:r w:rsidR="00E200CF">
        <w:t xml:space="preserve"> </w:t>
      </w:r>
    </w:p>
    <w:p w14:paraId="497102E2" w14:textId="3F951746" w:rsidR="00E200CF" w:rsidRDefault="00AB34FA" w:rsidP="00E200CF">
      <w:pPr>
        <w:pStyle w:val="Para1"/>
      </w:pPr>
      <w:r>
        <w:t xml:space="preserve">The purpose of the General Residential Zone is encapsulated in </w:t>
      </w:r>
      <w:r w:rsidR="00333B09">
        <w:t>two key statements:</w:t>
      </w:r>
    </w:p>
    <w:p w14:paraId="0711FE3A" w14:textId="77777777" w:rsidR="00333B09" w:rsidRDefault="00333B09" w:rsidP="00333B09">
      <w:pPr>
        <w:pStyle w:val="Quote1"/>
      </w:pPr>
      <w:r>
        <w:t>To encourage development that respects the neighbourhood character of the area.</w:t>
      </w:r>
    </w:p>
    <w:p w14:paraId="55AAB3D7" w14:textId="185E18FF" w:rsidR="00333B09" w:rsidRDefault="00333B09" w:rsidP="00333B09">
      <w:pPr>
        <w:pStyle w:val="Quote1"/>
      </w:pPr>
      <w:r>
        <w:t>To encourage a diversity of housing types and housing growth particularly in locations offering good access to services and transport.</w:t>
      </w:r>
    </w:p>
    <w:p w14:paraId="52ABCD9C" w14:textId="2DBE5487" w:rsidR="0061684A" w:rsidRDefault="004B57EC" w:rsidP="00F3357C">
      <w:pPr>
        <w:pStyle w:val="Para1"/>
      </w:pPr>
      <w:r>
        <w:t>The first statem</w:t>
      </w:r>
      <w:r w:rsidR="00380A8D">
        <w:t xml:space="preserve">ent </w:t>
      </w:r>
      <w:r w:rsidR="00E33CC8">
        <w:t>concerns</w:t>
      </w:r>
      <w:r w:rsidR="009D1F38">
        <w:t xml:space="preserve"> respect f</w:t>
      </w:r>
      <w:r w:rsidR="004A5577">
        <w:t>o</w:t>
      </w:r>
      <w:r w:rsidR="009D1F38">
        <w:t xml:space="preserve">r neighbourhood character, </w:t>
      </w:r>
      <w:r w:rsidR="00253D6C">
        <w:t xml:space="preserve">which in this case, refers to </w:t>
      </w:r>
      <w:r w:rsidR="00DE768F">
        <w:t xml:space="preserve">an area where </w:t>
      </w:r>
      <w:r w:rsidR="00385057">
        <w:t xml:space="preserve">post WW2 </w:t>
      </w:r>
      <w:r w:rsidR="00DE768F">
        <w:t>single storey</w:t>
      </w:r>
      <w:r w:rsidR="00385057">
        <w:t xml:space="preserve"> detached dwellings remain the prevailing character influence</w:t>
      </w:r>
      <w:r w:rsidR="00B87FB8">
        <w:t>, however, t</w:t>
      </w:r>
      <w:r w:rsidR="00C716EC">
        <w:t xml:space="preserve">he </w:t>
      </w:r>
      <w:r w:rsidR="007E61A6">
        <w:t xml:space="preserve">original dwellings are interspersed with </w:t>
      </w:r>
      <w:r w:rsidR="00C716EC">
        <w:t>a</w:t>
      </w:r>
      <w:r w:rsidR="00DA7D9A">
        <w:t xml:space="preserve"> </w:t>
      </w:r>
      <w:r w:rsidR="007B3079">
        <w:t xml:space="preserve">noticeable occurrence of </w:t>
      </w:r>
      <w:r w:rsidR="008B38A4">
        <w:t xml:space="preserve">large </w:t>
      </w:r>
      <w:r w:rsidR="009543EF">
        <w:t xml:space="preserve">contemporary </w:t>
      </w:r>
      <w:r w:rsidR="008B38A4">
        <w:t xml:space="preserve">double storey </w:t>
      </w:r>
      <w:r w:rsidR="00417CE1">
        <w:t>single</w:t>
      </w:r>
      <w:r w:rsidR="008B38A4">
        <w:t xml:space="preserve"> dwellings </w:t>
      </w:r>
      <w:r w:rsidR="009543EF">
        <w:t>in various forms</w:t>
      </w:r>
      <w:r w:rsidR="00982CBC">
        <w:t>. There is also</w:t>
      </w:r>
      <w:r w:rsidR="00636583">
        <w:t xml:space="preserve"> the presence </w:t>
      </w:r>
      <w:r w:rsidR="00D82D0D">
        <w:t>of some</w:t>
      </w:r>
      <w:r w:rsidR="009543EF">
        <w:t xml:space="preserve"> </w:t>
      </w:r>
      <w:r w:rsidR="005172C7">
        <w:t xml:space="preserve">double storey </w:t>
      </w:r>
      <w:r w:rsidR="00DE58C7">
        <w:t xml:space="preserve">contemporary duplex </w:t>
      </w:r>
      <w:r w:rsidR="009D7F70">
        <w:t>development</w:t>
      </w:r>
      <w:r w:rsidR="00636583">
        <w:t>, but</w:t>
      </w:r>
      <w:r w:rsidR="009B3DE7">
        <w:t xml:space="preserve"> few multi-dwelling unit sites.</w:t>
      </w:r>
      <w:r w:rsidR="00960D53">
        <w:t xml:space="preserve"> </w:t>
      </w:r>
    </w:p>
    <w:p w14:paraId="1C8F41CD" w14:textId="73AC0A59" w:rsidR="00DE7929" w:rsidRDefault="00233B64" w:rsidP="00F3357C">
      <w:pPr>
        <w:pStyle w:val="Para1"/>
      </w:pPr>
      <w:r>
        <w:t>T</w:t>
      </w:r>
      <w:r w:rsidR="000064A6">
        <w:t xml:space="preserve">he </w:t>
      </w:r>
      <w:r w:rsidR="006024EC">
        <w:t xml:space="preserve">impression </w:t>
      </w:r>
      <w:r w:rsidR="0061684A">
        <w:t xml:space="preserve">gained from viewing Oak Hill Road and the surrounding streets </w:t>
      </w:r>
      <w:r w:rsidR="006A4E6E">
        <w:t xml:space="preserve">is the </w:t>
      </w:r>
      <w:r w:rsidR="000064A6">
        <w:t>relative</w:t>
      </w:r>
      <w:r w:rsidR="00364C3B">
        <w:t>ly low density of development</w:t>
      </w:r>
      <w:r w:rsidR="006A4E6E">
        <w:t xml:space="preserve"> due to</w:t>
      </w:r>
      <w:r w:rsidR="00364C3B">
        <w:t xml:space="preserve"> the predominance of </w:t>
      </w:r>
      <w:r w:rsidR="006A4E6E">
        <w:t xml:space="preserve">traditional detached </w:t>
      </w:r>
      <w:r w:rsidR="00364C3B">
        <w:t>single</w:t>
      </w:r>
      <w:r w:rsidR="006C042E">
        <w:t xml:space="preserve"> storey</w:t>
      </w:r>
      <w:r w:rsidR="00364C3B">
        <w:t xml:space="preserve"> dwellings</w:t>
      </w:r>
      <w:r w:rsidR="00D4008D">
        <w:t xml:space="preserve"> </w:t>
      </w:r>
      <w:r w:rsidR="006C042E">
        <w:t xml:space="preserve">and </w:t>
      </w:r>
      <w:r w:rsidR="00D07128">
        <w:t>individu</w:t>
      </w:r>
      <w:r w:rsidR="003F2B9D">
        <w:t>al</w:t>
      </w:r>
      <w:r w:rsidR="001878E5">
        <w:t xml:space="preserve"> double storey dwellings </w:t>
      </w:r>
      <w:r w:rsidR="00D4008D">
        <w:t xml:space="preserve">on </w:t>
      </w:r>
      <w:r w:rsidR="001878E5">
        <w:t xml:space="preserve">the </w:t>
      </w:r>
      <w:r w:rsidR="00D4008D">
        <w:t>redeveloped sites.</w:t>
      </w:r>
    </w:p>
    <w:p w14:paraId="54D463E6" w14:textId="6CE3CC90" w:rsidR="00BC7F04" w:rsidRDefault="00E51E71" w:rsidP="00F3357C">
      <w:pPr>
        <w:pStyle w:val="Para1"/>
      </w:pPr>
      <w:r>
        <w:t xml:space="preserve">The General Residential Zone </w:t>
      </w:r>
      <w:r w:rsidR="00622A67">
        <w:t>makes provision for the inclusion of neighbourhood character objectives</w:t>
      </w:r>
      <w:r w:rsidR="00A716FF">
        <w:t xml:space="preserve"> in the schedules to the zone. In this case, </w:t>
      </w:r>
      <w:r w:rsidR="00D75749">
        <w:t xml:space="preserve">the subject land is in </w:t>
      </w:r>
      <w:r w:rsidR="00E76831">
        <w:t>Schedule 3</w:t>
      </w:r>
      <w:r w:rsidR="005F4748">
        <w:t>, described as</w:t>
      </w:r>
      <w:r w:rsidR="00E76831">
        <w:t xml:space="preserve"> </w:t>
      </w:r>
      <w:r w:rsidR="008173D6">
        <w:t xml:space="preserve">the </w:t>
      </w:r>
      <w:r w:rsidR="008173D6">
        <w:rPr>
          <w:i/>
          <w:iCs/>
        </w:rPr>
        <w:t>Garden City Suburbs</w:t>
      </w:r>
      <w:r w:rsidR="008173D6">
        <w:t>.</w:t>
      </w:r>
      <w:r w:rsidR="004B079F">
        <w:t xml:space="preserve"> The </w:t>
      </w:r>
      <w:r w:rsidR="00BC7F04">
        <w:t xml:space="preserve">relevant </w:t>
      </w:r>
      <w:r w:rsidR="00D75749">
        <w:t xml:space="preserve">character objective </w:t>
      </w:r>
      <w:r w:rsidR="00115499">
        <w:t>is</w:t>
      </w:r>
      <w:r w:rsidR="00BC7F04">
        <w:t>:</w:t>
      </w:r>
    </w:p>
    <w:p w14:paraId="1FC81B3F" w14:textId="77777777" w:rsidR="00AB56CA" w:rsidRDefault="00BC7F04" w:rsidP="00BC7F04">
      <w:pPr>
        <w:pStyle w:val="Quote1"/>
      </w:pPr>
      <w:r w:rsidRPr="00BC7F04">
        <w:t>To support new development that minimises building mass and visual bulk in the streetscape through generous front and side setbacks, landscaping in the front setback and breaks and recesses in the built form.</w:t>
      </w:r>
    </w:p>
    <w:p w14:paraId="5037477C" w14:textId="1E98B348" w:rsidR="00D4008D" w:rsidRDefault="00381F4D" w:rsidP="00AB56CA">
      <w:pPr>
        <w:pStyle w:val="Para1"/>
      </w:pPr>
      <w:r>
        <w:t>The proposed deve</w:t>
      </w:r>
      <w:r w:rsidR="00F06569">
        <w:t>lopment consists of four dwellings, all facing Oak Hill Road</w:t>
      </w:r>
      <w:r w:rsidR="0066283B">
        <w:t>. Dwelling 1 faces east and the remaining</w:t>
      </w:r>
      <w:r w:rsidR="007F7FBE">
        <w:t xml:space="preserve"> three </w:t>
      </w:r>
      <w:r w:rsidR="0066283B">
        <w:t>dwellings face north</w:t>
      </w:r>
      <w:r w:rsidR="007F7FBE">
        <w:t xml:space="preserve">. The difference in orientation is due </w:t>
      </w:r>
      <w:r w:rsidR="002066DD">
        <w:t xml:space="preserve">to </w:t>
      </w:r>
      <w:r w:rsidR="00E02A62">
        <w:t>Oak Hill Road changing direction</w:t>
      </w:r>
      <w:r w:rsidR="002066DD">
        <w:t>, effectively creating a corner site.</w:t>
      </w:r>
    </w:p>
    <w:p w14:paraId="6322968A" w14:textId="5BA02FB3" w:rsidR="00CA57FF" w:rsidRDefault="00E2484E" w:rsidP="00AB56CA">
      <w:pPr>
        <w:pStyle w:val="Para1"/>
      </w:pPr>
      <w:r>
        <w:rPr>
          <w:noProof/>
        </w:rPr>
        <w:lastRenderedPageBreak/>
        <w:drawing>
          <wp:anchor distT="0" distB="0" distL="114300" distR="114300" simplePos="0" relativeHeight="251666432" behindDoc="1" locked="0" layoutInCell="1" allowOverlap="1" wp14:anchorId="2B52CAF5" wp14:editId="69958CDB">
            <wp:simplePos x="0" y="0"/>
            <wp:positionH relativeFrom="column">
              <wp:posOffset>5183505</wp:posOffset>
            </wp:positionH>
            <wp:positionV relativeFrom="paragraph">
              <wp:posOffset>8459470</wp:posOffset>
            </wp:positionV>
            <wp:extent cx="1080000" cy="1080000"/>
            <wp:effectExtent l="0" t="0" r="6350" b="6350"/>
            <wp:wrapNone/>
            <wp:docPr id="11" name="VCAT Seal9"/>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E4425">
        <w:t xml:space="preserve">The </w:t>
      </w:r>
      <w:r w:rsidR="002160A4">
        <w:t>illustrations below are extracted from the</w:t>
      </w:r>
      <w:r w:rsidR="00D4797B">
        <w:t xml:space="preserve"> </w:t>
      </w:r>
      <w:r w:rsidR="002160A4">
        <w:t>amended plans</w:t>
      </w:r>
      <w:r w:rsidR="00D4797B">
        <w:t xml:space="preserve"> and depict the </w:t>
      </w:r>
      <w:r w:rsidR="00742F81">
        <w:t xml:space="preserve">northern and southern </w:t>
      </w:r>
      <w:r w:rsidR="003E4425">
        <w:t>elevations</w:t>
      </w:r>
      <w:r w:rsidR="007F364A">
        <w:t xml:space="preserve"> </w:t>
      </w:r>
      <w:r w:rsidR="00D4797B">
        <w:t>of the proposed development</w:t>
      </w:r>
      <w:r w:rsidR="00DF3902">
        <w:t>. The diagram also shows</w:t>
      </w:r>
      <w:r w:rsidR="009409EE">
        <w:t xml:space="preserve"> </w:t>
      </w:r>
      <w:r w:rsidR="004C46C4">
        <w:t>the different orientation of dwe</w:t>
      </w:r>
      <w:r w:rsidR="00884860">
        <w:t>l</w:t>
      </w:r>
      <w:r w:rsidR="004C46C4">
        <w:t xml:space="preserve">ling 1 due to </w:t>
      </w:r>
      <w:r w:rsidR="00884860">
        <w:t>the corner location</w:t>
      </w:r>
      <w:r w:rsidR="00742F81">
        <w:t>.</w:t>
      </w:r>
    </w:p>
    <w:p w14:paraId="6B3AE3AF" w14:textId="77777777" w:rsidR="00884860" w:rsidRDefault="00884860" w:rsidP="00884860">
      <w:pPr>
        <w:pStyle w:val="Para1"/>
        <w:numPr>
          <w:ilvl w:val="0"/>
          <w:numId w:val="0"/>
        </w:numPr>
        <w:ind w:left="567"/>
      </w:pPr>
    </w:p>
    <w:p w14:paraId="7F39FCDF" w14:textId="3D54BD54" w:rsidR="003E6328" w:rsidRPr="003E6328" w:rsidRDefault="009B6BE1" w:rsidP="00DE0BCE">
      <w:pPr>
        <w:pStyle w:val="Para1"/>
        <w:numPr>
          <w:ilvl w:val="0"/>
          <w:numId w:val="0"/>
        </w:numPr>
        <w:ind w:left="567"/>
        <w:jc w:val="center"/>
        <w:rPr>
          <w:lang w:eastAsia="en-GB"/>
        </w:rPr>
      </w:pPr>
      <w:r w:rsidRPr="009B6BE1">
        <w:rPr>
          <w:noProof/>
          <w:lang w:eastAsia="en-GB"/>
        </w:rPr>
        <w:drawing>
          <wp:inline distT="0" distB="0" distL="0" distR="0" wp14:anchorId="76F00D37" wp14:editId="68AE8AED">
            <wp:extent cx="5400675" cy="1275715"/>
            <wp:effectExtent l="25400" t="25400" r="22225"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675" cy="1275715"/>
                    </a:xfrm>
                    <a:prstGeom prst="rect">
                      <a:avLst/>
                    </a:prstGeom>
                    <a:ln w="19050">
                      <a:solidFill>
                        <a:schemeClr val="tx1"/>
                      </a:solidFill>
                    </a:ln>
                  </pic:spPr>
                </pic:pic>
              </a:graphicData>
            </a:graphic>
          </wp:inline>
        </w:drawing>
      </w:r>
    </w:p>
    <w:p w14:paraId="41DB2B08" w14:textId="4D3DABE8" w:rsidR="00742F81" w:rsidRDefault="00E1078D" w:rsidP="003E6328">
      <w:pPr>
        <w:pStyle w:val="Para1"/>
        <w:numPr>
          <w:ilvl w:val="0"/>
          <w:numId w:val="0"/>
        </w:numPr>
        <w:ind w:left="567"/>
        <w:jc w:val="center"/>
        <w:rPr>
          <w:sz w:val="22"/>
          <w:szCs w:val="22"/>
        </w:rPr>
      </w:pPr>
      <w:r>
        <w:rPr>
          <w:sz w:val="22"/>
          <w:szCs w:val="22"/>
        </w:rPr>
        <w:t>Northern</w:t>
      </w:r>
      <w:r w:rsidR="001E0272">
        <w:rPr>
          <w:sz w:val="22"/>
          <w:szCs w:val="22"/>
        </w:rPr>
        <w:t xml:space="preserve"> elevation</w:t>
      </w:r>
    </w:p>
    <w:p w14:paraId="51F8BC85" w14:textId="77777777" w:rsidR="00884860" w:rsidRPr="00E1078D" w:rsidRDefault="00884860" w:rsidP="003E6328">
      <w:pPr>
        <w:pStyle w:val="Para1"/>
        <w:numPr>
          <w:ilvl w:val="0"/>
          <w:numId w:val="0"/>
        </w:numPr>
        <w:ind w:left="567"/>
        <w:jc w:val="center"/>
        <w:rPr>
          <w:sz w:val="22"/>
          <w:szCs w:val="22"/>
        </w:rPr>
      </w:pPr>
    </w:p>
    <w:p w14:paraId="651B6AE2" w14:textId="48B6D1DC" w:rsidR="00AD0E43" w:rsidRDefault="00AD0E43" w:rsidP="003E6328">
      <w:pPr>
        <w:pStyle w:val="Para1"/>
        <w:numPr>
          <w:ilvl w:val="0"/>
          <w:numId w:val="0"/>
        </w:numPr>
        <w:ind w:left="567"/>
        <w:jc w:val="center"/>
      </w:pPr>
      <w:r w:rsidRPr="00AD0E43">
        <w:rPr>
          <w:noProof/>
        </w:rPr>
        <w:drawing>
          <wp:inline distT="0" distB="0" distL="0" distR="0" wp14:anchorId="30437D7F" wp14:editId="7BCB7E3D">
            <wp:extent cx="5400675" cy="1336675"/>
            <wp:effectExtent l="25400" t="25400" r="22225"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675" cy="1336675"/>
                    </a:xfrm>
                    <a:prstGeom prst="rect">
                      <a:avLst/>
                    </a:prstGeom>
                    <a:ln w="19050">
                      <a:solidFill>
                        <a:schemeClr val="tx1"/>
                      </a:solidFill>
                    </a:ln>
                  </pic:spPr>
                </pic:pic>
              </a:graphicData>
            </a:graphic>
          </wp:inline>
        </w:drawing>
      </w:r>
    </w:p>
    <w:p w14:paraId="18AE9E17" w14:textId="74F44DC6" w:rsidR="00884860" w:rsidRDefault="001E0272" w:rsidP="009F4C5B">
      <w:pPr>
        <w:pStyle w:val="Para1"/>
        <w:numPr>
          <w:ilvl w:val="0"/>
          <w:numId w:val="0"/>
        </w:numPr>
        <w:ind w:left="567"/>
        <w:jc w:val="center"/>
        <w:rPr>
          <w:sz w:val="22"/>
          <w:szCs w:val="22"/>
        </w:rPr>
      </w:pPr>
      <w:r>
        <w:rPr>
          <w:sz w:val="22"/>
          <w:szCs w:val="22"/>
        </w:rPr>
        <w:t>Southern elevation</w:t>
      </w:r>
    </w:p>
    <w:p w14:paraId="5B589B17" w14:textId="77777777" w:rsidR="009F4C5B" w:rsidRDefault="009F4C5B" w:rsidP="009F4C5B">
      <w:pPr>
        <w:pStyle w:val="Para1"/>
        <w:numPr>
          <w:ilvl w:val="0"/>
          <w:numId w:val="0"/>
        </w:numPr>
        <w:ind w:left="567"/>
        <w:jc w:val="center"/>
        <w:rPr>
          <w:sz w:val="22"/>
          <w:szCs w:val="22"/>
        </w:rPr>
      </w:pPr>
    </w:p>
    <w:p w14:paraId="16D6F036" w14:textId="30E340FF" w:rsidR="00353514" w:rsidRDefault="00EE6FB2" w:rsidP="00FC2D72">
      <w:pPr>
        <w:pStyle w:val="Para1"/>
      </w:pPr>
      <w:r>
        <w:t xml:space="preserve">In assessing the </w:t>
      </w:r>
      <w:r w:rsidR="00E629EB">
        <w:t xml:space="preserve">response to the </w:t>
      </w:r>
      <w:r w:rsidR="00E629EB">
        <w:rPr>
          <w:i/>
          <w:iCs/>
        </w:rPr>
        <w:t>Garden City</w:t>
      </w:r>
      <w:r w:rsidR="00DD41F9">
        <w:t xml:space="preserve"> character objective</w:t>
      </w:r>
      <w:r w:rsidR="009F4C5B" w:rsidRPr="00606237">
        <w:t xml:space="preserve">, </w:t>
      </w:r>
      <w:r w:rsidR="00DF5763">
        <w:t xml:space="preserve">I consider the key </w:t>
      </w:r>
      <w:r w:rsidR="009F4C5B" w:rsidRPr="00606237">
        <w:t xml:space="preserve">planning </w:t>
      </w:r>
      <w:r w:rsidR="00DF5763">
        <w:t>task</w:t>
      </w:r>
      <w:r w:rsidR="009F4C5B" w:rsidRPr="00606237">
        <w:t xml:space="preserve"> is </w:t>
      </w:r>
      <w:r w:rsidR="003B5048">
        <w:t xml:space="preserve">to assess </w:t>
      </w:r>
      <w:r w:rsidR="009F4C5B">
        <w:t xml:space="preserve">the proposed development </w:t>
      </w:r>
      <w:r w:rsidR="001C121A">
        <w:t>in</w:t>
      </w:r>
      <w:r w:rsidR="009F4C5B">
        <w:t xml:space="preserve"> </w:t>
      </w:r>
      <w:r w:rsidR="00D80D13">
        <w:t xml:space="preserve">the </w:t>
      </w:r>
      <w:r w:rsidR="009F4C5B" w:rsidRPr="00606237">
        <w:t>context</w:t>
      </w:r>
      <w:r w:rsidR="009F4C5B">
        <w:t xml:space="preserve"> </w:t>
      </w:r>
      <w:r w:rsidR="00D80D13">
        <w:t>of</w:t>
      </w:r>
      <w:r w:rsidR="00656B9D">
        <w:t xml:space="preserve"> the existing </w:t>
      </w:r>
      <w:r w:rsidR="006477ED">
        <w:t>streetscape</w:t>
      </w:r>
      <w:r w:rsidR="009F4C5B">
        <w:t>. That is,</w:t>
      </w:r>
      <w:r w:rsidR="009F4C5B" w:rsidRPr="00606237">
        <w:t xml:space="preserve"> whether the form, scale and style of </w:t>
      </w:r>
      <w:r w:rsidR="009F4C5B">
        <w:t>the development is an acceptable response to neighbourhood character</w:t>
      </w:r>
      <w:r w:rsidR="009F4C5B" w:rsidRPr="00606237">
        <w:t xml:space="preserve">. </w:t>
      </w:r>
      <w:r w:rsidR="00CF34AA">
        <w:t>As Mr Souss</w:t>
      </w:r>
      <w:r w:rsidR="005F334D">
        <w:t>a</w:t>
      </w:r>
      <w:r w:rsidR="00CF34AA">
        <w:t>n</w:t>
      </w:r>
      <w:r w:rsidR="005F334D">
        <w:t xml:space="preserve"> observes in his evidence, </w:t>
      </w:r>
      <w:r w:rsidR="00606FDE">
        <w:t xml:space="preserve">the </w:t>
      </w:r>
      <w:r w:rsidR="003F7AE9">
        <w:t xml:space="preserve">extent of the </w:t>
      </w:r>
      <w:r w:rsidR="00EB0B51">
        <w:rPr>
          <w:i/>
          <w:iCs/>
        </w:rPr>
        <w:t xml:space="preserve">Garden </w:t>
      </w:r>
      <w:r w:rsidR="003F7AE9">
        <w:rPr>
          <w:i/>
          <w:iCs/>
        </w:rPr>
        <w:t>City Suburbs</w:t>
      </w:r>
      <w:r w:rsidR="003F7AE9">
        <w:t xml:space="preserve"> precinct</w:t>
      </w:r>
      <w:r w:rsidR="005F334D">
        <w:t xml:space="preserve"> </w:t>
      </w:r>
      <w:r w:rsidR="003F7AE9">
        <w:t>approximates 50% of the municipality</w:t>
      </w:r>
      <w:r w:rsidR="00C3785E">
        <w:t xml:space="preserve"> and there are considerable variations within the precinct, both in terms of built form and topography.</w:t>
      </w:r>
      <w:r w:rsidR="00D45D4C">
        <w:t xml:space="preserve"> </w:t>
      </w:r>
      <w:r w:rsidR="00C7404C">
        <w:t>However, it is clear</w:t>
      </w:r>
      <w:r w:rsidR="0028223D">
        <w:t xml:space="preserve"> </w:t>
      </w:r>
      <w:r w:rsidR="00DB6853">
        <w:t xml:space="preserve">the </w:t>
      </w:r>
      <w:r w:rsidR="000E4EE7">
        <w:t>preferred future character</w:t>
      </w:r>
      <w:r w:rsidR="00DB6853">
        <w:t xml:space="preserve"> is for development to</w:t>
      </w:r>
      <w:r w:rsidR="00353514">
        <w:t>;</w:t>
      </w:r>
    </w:p>
    <w:p w14:paraId="37CC2135" w14:textId="40D03399" w:rsidR="00353514" w:rsidRDefault="00C90A3F" w:rsidP="00353514">
      <w:pPr>
        <w:pStyle w:val="Quote1"/>
      </w:pPr>
      <w:r>
        <w:t>..</w:t>
      </w:r>
      <w:r w:rsidRPr="00C90A3F">
        <w:t xml:space="preserve"> take place within a pleasant leafy framework of well-vegetated front and rear gardens and large canopy trees.</w:t>
      </w:r>
    </w:p>
    <w:p w14:paraId="4D4C4419" w14:textId="203AAD50" w:rsidR="00FC2D72" w:rsidRDefault="00CF08D7" w:rsidP="00FC2D72">
      <w:pPr>
        <w:pStyle w:val="Para1"/>
      </w:pPr>
      <w:r>
        <w:t xml:space="preserve">The proposed development </w:t>
      </w:r>
      <w:r w:rsidR="00E2216F">
        <w:t>presents four double storey dwellings</w:t>
      </w:r>
      <w:r w:rsidR="00340F3D">
        <w:t xml:space="preserve"> on rising </w:t>
      </w:r>
      <w:r w:rsidR="00673527">
        <w:t>terrain</w:t>
      </w:r>
      <w:r w:rsidR="00EB762F">
        <w:t xml:space="preserve"> that</w:t>
      </w:r>
      <w:r w:rsidR="00340F3D">
        <w:t xml:space="preserve"> </w:t>
      </w:r>
      <w:r w:rsidR="008E399E">
        <w:t xml:space="preserve">will have the effect of </w:t>
      </w:r>
      <w:r w:rsidR="00340F3D">
        <w:t>accentuat</w:t>
      </w:r>
      <w:r w:rsidR="008E399E">
        <w:t>ing</w:t>
      </w:r>
      <w:r w:rsidR="00E24FE5">
        <w:t xml:space="preserve"> their </w:t>
      </w:r>
      <w:r w:rsidR="00673527">
        <w:t xml:space="preserve">presence in the street. </w:t>
      </w:r>
      <w:r w:rsidR="009F4C5B" w:rsidRPr="00606237">
        <w:t>Taking into consideration the repetitive style</w:t>
      </w:r>
      <w:r w:rsidR="000C73EC">
        <w:t xml:space="preserve"> and</w:t>
      </w:r>
      <w:r w:rsidR="009F4C5B" w:rsidRPr="00606237">
        <w:t xml:space="preserve"> form </w:t>
      </w:r>
      <w:r w:rsidR="000C73EC">
        <w:t xml:space="preserve">of the </w:t>
      </w:r>
      <w:r w:rsidR="00A405BA">
        <w:t xml:space="preserve">proposed </w:t>
      </w:r>
      <w:r w:rsidR="000C73EC">
        <w:t>dwelling</w:t>
      </w:r>
      <w:r w:rsidR="00634FE0">
        <w:t xml:space="preserve">s </w:t>
      </w:r>
      <w:r w:rsidR="009F4C5B" w:rsidRPr="00606237">
        <w:t xml:space="preserve">and </w:t>
      </w:r>
      <w:r w:rsidR="00A405BA">
        <w:t xml:space="preserve">their likely </w:t>
      </w:r>
      <w:r w:rsidR="009F4C5B" w:rsidRPr="00606237">
        <w:t>streetscape prominence, I find it difficult to interpret the proposal before me as a ‘comfortable fit’.</w:t>
      </w:r>
    </w:p>
    <w:p w14:paraId="1B071349" w14:textId="058E5DB6" w:rsidR="00F60AA1" w:rsidRDefault="008220CF" w:rsidP="00F60AA1">
      <w:pPr>
        <w:pStyle w:val="Para1"/>
      </w:pPr>
      <w:r>
        <w:t>I acknowledge that when</w:t>
      </w:r>
      <w:r w:rsidR="00186621" w:rsidRPr="00606237">
        <w:t xml:space="preserve"> there is no identified heritage or design context, dwelling styles are open to broad interpretation and style preferences can vary to the point that it is difficult to identify a consistent neighbourhood character</w:t>
      </w:r>
      <w:r w:rsidR="00325F0B">
        <w:t xml:space="preserve"> (</w:t>
      </w:r>
      <w:r w:rsidR="00186621" w:rsidRPr="00606237">
        <w:t>other than eclecticism</w:t>
      </w:r>
      <w:r w:rsidR="00325F0B">
        <w:t>)</w:t>
      </w:r>
      <w:r w:rsidR="00186621" w:rsidRPr="00606237">
        <w:t>.</w:t>
      </w:r>
      <w:r w:rsidR="00CA7993">
        <w:t xml:space="preserve"> </w:t>
      </w:r>
      <w:r w:rsidR="00525F98">
        <w:t>For example</w:t>
      </w:r>
      <w:r w:rsidR="002245ED">
        <w:t>, a double storey</w:t>
      </w:r>
      <w:r w:rsidR="004D3EBE">
        <w:t xml:space="preserve"> </w:t>
      </w:r>
      <w:r w:rsidR="00CF449F">
        <w:t xml:space="preserve">‘period </w:t>
      </w:r>
      <w:r w:rsidR="00E2484E">
        <w:rPr>
          <w:noProof/>
        </w:rPr>
        <w:lastRenderedPageBreak/>
        <w:drawing>
          <wp:anchor distT="0" distB="0" distL="114300" distR="114300" simplePos="0" relativeHeight="251667456" behindDoc="1" locked="0" layoutInCell="1" allowOverlap="1" wp14:anchorId="41ADCF2E" wp14:editId="28BF3FC3">
            <wp:simplePos x="0" y="0"/>
            <wp:positionH relativeFrom="column">
              <wp:posOffset>5183505</wp:posOffset>
            </wp:positionH>
            <wp:positionV relativeFrom="paragraph">
              <wp:posOffset>8459470</wp:posOffset>
            </wp:positionV>
            <wp:extent cx="1080000" cy="1080000"/>
            <wp:effectExtent l="0" t="0" r="6350" b="6350"/>
            <wp:wrapNone/>
            <wp:docPr id="12" name="VCAT Seal10"/>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F449F">
        <w:t>style’</w:t>
      </w:r>
      <w:r w:rsidR="002245ED">
        <w:t xml:space="preserve"> dwelling </w:t>
      </w:r>
      <w:r w:rsidR="005E0C3D">
        <w:t>standing alone</w:t>
      </w:r>
      <w:r w:rsidR="00336BB8">
        <w:t xml:space="preserve"> </w:t>
      </w:r>
      <w:r w:rsidR="00CC3485">
        <w:t>is</w:t>
      </w:r>
      <w:r w:rsidR="00080280">
        <w:t xml:space="preserve"> not </w:t>
      </w:r>
      <w:r w:rsidR="000F0C86">
        <w:t xml:space="preserve">an </w:t>
      </w:r>
      <w:r w:rsidR="00BE1D82">
        <w:t>unusual</w:t>
      </w:r>
      <w:r w:rsidR="00B2207C">
        <w:t xml:space="preserve"> occurrence in </w:t>
      </w:r>
      <w:r w:rsidR="00B83688">
        <w:t>suburban Melbourne</w:t>
      </w:r>
      <w:r w:rsidR="005A0D9F">
        <w:t xml:space="preserve"> and I observed a number of recent examples in </w:t>
      </w:r>
      <w:r w:rsidR="00463EBD">
        <w:t>the streets surrounding this proposal.</w:t>
      </w:r>
      <w:r w:rsidR="0022430B">
        <w:t xml:space="preserve"> However, the repetitive grouping of four </w:t>
      </w:r>
      <w:r w:rsidR="002A688F">
        <w:t xml:space="preserve">almost identical buildings </w:t>
      </w:r>
      <w:r w:rsidR="00F60AA1">
        <w:t xml:space="preserve">demonstrates </w:t>
      </w:r>
      <w:r w:rsidR="00FD0453">
        <w:t>t</w:t>
      </w:r>
      <w:r w:rsidR="00F60AA1">
        <w:t xml:space="preserve">here is no meaningful attempt to </w:t>
      </w:r>
      <w:r w:rsidR="00F60AA1">
        <w:rPr>
          <w:i/>
          <w:iCs/>
        </w:rPr>
        <w:t>minimise building mass and visual bulk</w:t>
      </w:r>
      <w:r w:rsidR="00E97DD4">
        <w:t xml:space="preserve"> in this proposal.</w:t>
      </w:r>
      <w:r w:rsidR="00F60AA1">
        <w:t xml:space="preserve"> </w:t>
      </w:r>
      <w:r w:rsidR="00B33748">
        <w:t>On the contrary</w:t>
      </w:r>
      <w:r w:rsidR="009B7C2D">
        <w:t xml:space="preserve">, </w:t>
      </w:r>
      <w:r w:rsidR="000D2F11">
        <w:t xml:space="preserve">it seems </w:t>
      </w:r>
      <w:r w:rsidR="009B7C2D">
        <w:t xml:space="preserve">the intent is to </w:t>
      </w:r>
      <w:r w:rsidR="00F60AA1">
        <w:t xml:space="preserve">be prominent in the streetscape. </w:t>
      </w:r>
    </w:p>
    <w:p w14:paraId="40FD22AD" w14:textId="595E7B3C" w:rsidR="00186621" w:rsidRDefault="00557132" w:rsidP="00FC2D72">
      <w:pPr>
        <w:pStyle w:val="Para1"/>
      </w:pPr>
      <w:r>
        <w:t xml:space="preserve">Repeating the </w:t>
      </w:r>
      <w:r w:rsidR="006B2253">
        <w:t xml:space="preserve">same </w:t>
      </w:r>
      <w:r>
        <w:t xml:space="preserve">style </w:t>
      </w:r>
      <w:r w:rsidR="006B2253">
        <w:t xml:space="preserve">across all four </w:t>
      </w:r>
      <w:r w:rsidR="00ED1903">
        <w:t>dwellings</w:t>
      </w:r>
      <w:r w:rsidR="006B2253">
        <w:t xml:space="preserve"> </w:t>
      </w:r>
      <w:r w:rsidR="008E65DA">
        <w:t>does tend to accentuate the visual impact of the development</w:t>
      </w:r>
      <w:r w:rsidR="00FA4A8C">
        <w:t xml:space="preserve">, but it </w:t>
      </w:r>
      <w:r w:rsidR="004E2B3B">
        <w:t xml:space="preserve">is not </w:t>
      </w:r>
      <w:r w:rsidR="00527548">
        <w:t xml:space="preserve">the </w:t>
      </w:r>
      <w:r w:rsidR="001D493B">
        <w:t>style of the dwellings</w:t>
      </w:r>
      <w:r w:rsidR="00527548">
        <w:t xml:space="preserve"> </w:t>
      </w:r>
      <w:r w:rsidR="008A283A">
        <w:t>that is the concern here</w:t>
      </w:r>
      <w:r>
        <w:t xml:space="preserve">. </w:t>
      </w:r>
      <w:r w:rsidR="001071D3">
        <w:t>For example, v</w:t>
      </w:r>
      <w:r w:rsidR="00D617B6">
        <w:t>arying the style</w:t>
      </w:r>
      <w:r w:rsidR="00C55D28">
        <w:t xml:space="preserve"> </w:t>
      </w:r>
      <w:r w:rsidR="00772CBB">
        <w:t xml:space="preserve">or materiality </w:t>
      </w:r>
      <w:r w:rsidR="00C55D28">
        <w:t xml:space="preserve">of the </w:t>
      </w:r>
      <w:r w:rsidR="00ED1903">
        <w:t>dwellings</w:t>
      </w:r>
      <w:r w:rsidR="00C55D28">
        <w:t xml:space="preserve"> </w:t>
      </w:r>
      <w:r w:rsidR="00B148BA">
        <w:t xml:space="preserve">is unlikely to </w:t>
      </w:r>
      <w:r w:rsidR="00382F69">
        <w:t xml:space="preserve">result in a more </w:t>
      </w:r>
      <w:r w:rsidR="00DE2A4A">
        <w:t>acceptable outcome</w:t>
      </w:r>
      <w:r w:rsidR="001071D3">
        <w:t>. T</w:t>
      </w:r>
      <w:r w:rsidR="00FD4098">
        <w:t>h</w:t>
      </w:r>
      <w:r w:rsidR="00D32ED1">
        <w:t>e</w:t>
      </w:r>
      <w:r w:rsidR="00FD4098">
        <w:t xml:space="preserve"> issue</w:t>
      </w:r>
      <w:r w:rsidR="00DE2A4A">
        <w:t xml:space="preserve"> is </w:t>
      </w:r>
      <w:r w:rsidR="003201E5">
        <w:t xml:space="preserve">the consistent visual bulk </w:t>
      </w:r>
      <w:r w:rsidR="001B09C9">
        <w:t xml:space="preserve">accentuated by the </w:t>
      </w:r>
      <w:r w:rsidR="00C269D9">
        <w:t xml:space="preserve">slope of the land and the </w:t>
      </w:r>
      <w:r w:rsidR="0077687C">
        <w:t xml:space="preserve">serried effect </w:t>
      </w:r>
      <w:r w:rsidR="002B4E19">
        <w:t xml:space="preserve">of the </w:t>
      </w:r>
      <w:r w:rsidR="001F5141">
        <w:t>double storey form</w:t>
      </w:r>
      <w:r w:rsidR="003142D0">
        <w:t>.</w:t>
      </w:r>
      <w:r w:rsidR="004D566F">
        <w:t xml:space="preserve"> </w:t>
      </w:r>
      <w:r w:rsidR="00674CBD">
        <w:t xml:space="preserve">Accordingly, </w:t>
      </w:r>
      <w:r w:rsidR="004D566F">
        <w:t>I find</w:t>
      </w:r>
      <w:r w:rsidR="00674CBD">
        <w:t xml:space="preserve"> </w:t>
      </w:r>
      <w:r w:rsidR="004D566F">
        <w:t>the proposed</w:t>
      </w:r>
      <w:r w:rsidR="00C46509">
        <w:t xml:space="preserve"> development does not respect </w:t>
      </w:r>
      <w:r w:rsidR="00C14793">
        <w:t>the neighbourhood character of th</w:t>
      </w:r>
      <w:r w:rsidR="009B7E9F">
        <w:t>is</w:t>
      </w:r>
      <w:r w:rsidR="00C14793">
        <w:t xml:space="preserve"> area.</w:t>
      </w:r>
    </w:p>
    <w:p w14:paraId="7BC4D2FC" w14:textId="0BEE4E1C" w:rsidR="00E200CF" w:rsidRDefault="00FF2A90" w:rsidP="00D4008D">
      <w:pPr>
        <w:pStyle w:val="Heading2"/>
      </w:pPr>
      <w:r>
        <w:t>Does the proposed design provide an acceptable response to the applicable design guidelines at Clause 55 (ResCode)?</w:t>
      </w:r>
    </w:p>
    <w:p w14:paraId="02F4B594" w14:textId="47D0DB30" w:rsidR="00CC2BEF" w:rsidRDefault="00564A7C" w:rsidP="00E200CF">
      <w:pPr>
        <w:pStyle w:val="Para1"/>
      </w:pPr>
      <w:r>
        <w:t xml:space="preserve">In his assessment </w:t>
      </w:r>
      <w:r w:rsidR="001C1942">
        <w:t xml:space="preserve">of neighbourhood character in response to the </w:t>
      </w:r>
      <w:r w:rsidR="008E7CC7">
        <w:t>objectives and standards at Clause 55.02-1, Mr Sous</w:t>
      </w:r>
      <w:r w:rsidR="005E6C7E">
        <w:t>san provides</w:t>
      </w:r>
      <w:r w:rsidR="001C2120">
        <w:t xml:space="preserve"> </w:t>
      </w:r>
      <w:r w:rsidR="00710E08">
        <w:t xml:space="preserve">a </w:t>
      </w:r>
      <w:r w:rsidR="00BC425F">
        <w:t>useful</w:t>
      </w:r>
      <w:r w:rsidR="00710E08">
        <w:t xml:space="preserve"> </w:t>
      </w:r>
      <w:r w:rsidR="00702343">
        <w:t>description of the extent and character of development</w:t>
      </w:r>
      <w:r w:rsidR="00CC2BEF">
        <w:t xml:space="preserve"> in the Oak Hill Road area;</w:t>
      </w:r>
    </w:p>
    <w:p w14:paraId="3524A090" w14:textId="08428C19" w:rsidR="00447B9A" w:rsidRDefault="00447B9A" w:rsidP="00447B9A">
      <w:pPr>
        <w:pStyle w:val="Quote1"/>
      </w:pPr>
      <w:r>
        <w:t>The site is located within an established residential area featuring a range of varying dwelling typologies and architectural styles, which reflect the high degree of recent development along Oak Hill Road and the surrounding streets (particularly toward Highbury Road to the north of the Site). Nearby residential dwellings range from two or more dwellings on a lot comprised of brick and render with pitched roofs, to contemporary designs, to neo-Georgian architecture.</w:t>
      </w:r>
    </w:p>
    <w:p w14:paraId="48DF1A7D" w14:textId="3275A31F" w:rsidR="00E200CF" w:rsidRDefault="00447B9A" w:rsidP="00447B9A">
      <w:pPr>
        <w:pStyle w:val="Quote1"/>
      </w:pPr>
      <w:r>
        <w:t>The neo-Georgian style is an architectural response which is becoming more prominent in the area. These dwellings are typically built close to the frontage, employ no or limited upper level setbacks, and feature prominent and sometimes ornate windows and balconies</w:t>
      </w:r>
      <w:r w:rsidR="001C2120">
        <w:t>.</w:t>
      </w:r>
    </w:p>
    <w:p w14:paraId="65FF9834" w14:textId="53B30AF9" w:rsidR="001C2120" w:rsidRDefault="0049071D" w:rsidP="001C2120">
      <w:pPr>
        <w:pStyle w:val="Para1"/>
      </w:pPr>
      <w:r>
        <w:t xml:space="preserve">Mr </w:t>
      </w:r>
      <w:r w:rsidR="00F454C5">
        <w:t xml:space="preserve">Soussan submits the </w:t>
      </w:r>
      <w:r w:rsidR="00C24965">
        <w:t>proposed development is “entirely consistent with the character of the area”</w:t>
      </w:r>
      <w:r w:rsidR="00BC75E6">
        <w:t xml:space="preserve"> for the reasons that</w:t>
      </w:r>
      <w:r w:rsidR="000B4880">
        <w:t xml:space="preserve"> I summarise as</w:t>
      </w:r>
      <w:r w:rsidR="008A28A4">
        <w:t>:</w:t>
      </w:r>
    </w:p>
    <w:p w14:paraId="6880859C" w14:textId="3DE48AAD" w:rsidR="000B4880" w:rsidRDefault="000B4880" w:rsidP="000B4880">
      <w:pPr>
        <w:pStyle w:val="Para1"/>
        <w:numPr>
          <w:ilvl w:val="0"/>
          <w:numId w:val="21"/>
        </w:numPr>
      </w:pPr>
      <w:r>
        <w:t xml:space="preserve">The use of </w:t>
      </w:r>
      <w:r w:rsidR="00EF557B">
        <w:t>light-coloured</w:t>
      </w:r>
      <w:r>
        <w:t xml:space="preserve"> external materials</w:t>
      </w:r>
      <w:r w:rsidR="00EF557B">
        <w:t>.</w:t>
      </w:r>
    </w:p>
    <w:p w14:paraId="5D689C13" w14:textId="0DCD97E5" w:rsidR="00EF557B" w:rsidRDefault="0092615C" w:rsidP="000B4880">
      <w:pPr>
        <w:pStyle w:val="Para1"/>
        <w:numPr>
          <w:ilvl w:val="0"/>
          <w:numId w:val="21"/>
        </w:numPr>
      </w:pPr>
      <w:r>
        <w:t>A building height consistent with the “emerging character of the area”.</w:t>
      </w:r>
    </w:p>
    <w:p w14:paraId="2348D2B5" w14:textId="6DC12CFE" w:rsidR="0092615C" w:rsidRDefault="00D4155C" w:rsidP="000B4880">
      <w:pPr>
        <w:pStyle w:val="Para1"/>
        <w:numPr>
          <w:ilvl w:val="0"/>
          <w:numId w:val="21"/>
        </w:numPr>
      </w:pPr>
      <w:r>
        <w:t>A positive response to topography.</w:t>
      </w:r>
    </w:p>
    <w:p w14:paraId="26E81146" w14:textId="070CBF2F" w:rsidR="00D4155C" w:rsidRDefault="00D936A8" w:rsidP="000B4880">
      <w:pPr>
        <w:pStyle w:val="Para1"/>
        <w:numPr>
          <w:ilvl w:val="0"/>
          <w:numId w:val="21"/>
        </w:numPr>
      </w:pPr>
      <w:r>
        <w:t>Articulated buildings</w:t>
      </w:r>
      <w:r w:rsidR="006E4C0B">
        <w:t xml:space="preserve"> in the form of a recessed upper storey</w:t>
      </w:r>
      <w:r w:rsidR="00791C2E">
        <w:t xml:space="preserve"> and “appropriate fenestration detail”.</w:t>
      </w:r>
    </w:p>
    <w:p w14:paraId="0F0F1BDC" w14:textId="6AB3F9D9" w:rsidR="00791C2E" w:rsidRDefault="0064596A" w:rsidP="000B4880">
      <w:pPr>
        <w:pStyle w:val="Para1"/>
        <w:numPr>
          <w:ilvl w:val="0"/>
          <w:numId w:val="21"/>
        </w:numPr>
      </w:pPr>
      <w:r>
        <w:t>P</w:t>
      </w:r>
      <w:r w:rsidR="00235CC2">
        <w:t xml:space="preserve">itched roof </w:t>
      </w:r>
      <w:r>
        <w:t>forms</w:t>
      </w:r>
      <w:r w:rsidR="00235CC2">
        <w:t>.</w:t>
      </w:r>
    </w:p>
    <w:p w14:paraId="7411DC64" w14:textId="03F79ECC" w:rsidR="00235CC2" w:rsidRDefault="00235CC2" w:rsidP="000B4880">
      <w:pPr>
        <w:pStyle w:val="Para1"/>
        <w:numPr>
          <w:ilvl w:val="0"/>
          <w:numId w:val="21"/>
        </w:numPr>
      </w:pPr>
      <w:r>
        <w:t>Landscape</w:t>
      </w:r>
      <w:r w:rsidR="0064596A">
        <w:t>d</w:t>
      </w:r>
      <w:r>
        <w:t xml:space="preserve"> front and rear gardens</w:t>
      </w:r>
      <w:r w:rsidR="0064596A">
        <w:t>.</w:t>
      </w:r>
    </w:p>
    <w:p w14:paraId="5B1F25B7" w14:textId="66CA1CC5" w:rsidR="00936880" w:rsidRDefault="00CC0A00" w:rsidP="00755959">
      <w:pPr>
        <w:pStyle w:val="Para1"/>
      </w:pPr>
      <w:r>
        <w:t>In broad terms,</w:t>
      </w:r>
      <w:r w:rsidR="00743EFE">
        <w:t xml:space="preserve"> </w:t>
      </w:r>
      <w:r w:rsidR="000233A0">
        <w:t xml:space="preserve">I consider </w:t>
      </w:r>
      <w:r w:rsidR="00755959">
        <w:t>Mr Sous</w:t>
      </w:r>
      <w:r w:rsidR="000721CE">
        <w:t xml:space="preserve">san’s </w:t>
      </w:r>
      <w:r w:rsidR="00872F50">
        <w:t xml:space="preserve">reasons are </w:t>
      </w:r>
      <w:r w:rsidR="007623E3">
        <w:t xml:space="preserve">essentially accurate, although I </w:t>
      </w:r>
      <w:r w:rsidR="000B54A7">
        <w:t>struggle with the contention</w:t>
      </w:r>
      <w:r w:rsidR="00DD1479">
        <w:t xml:space="preserve"> that the buildings </w:t>
      </w:r>
      <w:r w:rsidR="0075568C">
        <w:t xml:space="preserve">“respond </w:t>
      </w:r>
      <w:r w:rsidR="00E2484E">
        <w:rPr>
          <w:noProof/>
        </w:rPr>
        <w:lastRenderedPageBreak/>
        <w:drawing>
          <wp:anchor distT="0" distB="0" distL="114300" distR="114300" simplePos="0" relativeHeight="251668480" behindDoc="1" locked="0" layoutInCell="1" allowOverlap="1" wp14:anchorId="72BEB1D7" wp14:editId="2E805568">
            <wp:simplePos x="0" y="0"/>
            <wp:positionH relativeFrom="column">
              <wp:posOffset>5183505</wp:posOffset>
            </wp:positionH>
            <wp:positionV relativeFrom="paragraph">
              <wp:posOffset>8459470</wp:posOffset>
            </wp:positionV>
            <wp:extent cx="1080000" cy="1080000"/>
            <wp:effectExtent l="0" t="0" r="6350" b="6350"/>
            <wp:wrapNone/>
            <wp:docPr id="13" name="VCAT Seal1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5568C">
        <w:t>positively to the topography”</w:t>
      </w:r>
      <w:r w:rsidR="00F51084">
        <w:t xml:space="preserve">. Having stood in the street and </w:t>
      </w:r>
      <w:r w:rsidR="00CC1A8A">
        <w:t>reviewed the proposed northern elevation</w:t>
      </w:r>
      <w:r w:rsidR="00B40F17">
        <w:t xml:space="preserve"> </w:t>
      </w:r>
      <w:r w:rsidR="00040CEF">
        <w:t xml:space="preserve">plan </w:t>
      </w:r>
      <w:r w:rsidR="00B83566">
        <w:t xml:space="preserve">in the context of the </w:t>
      </w:r>
      <w:r w:rsidR="00040CEF">
        <w:t xml:space="preserve">rising </w:t>
      </w:r>
      <w:r w:rsidR="00B66A18">
        <w:t>terrain</w:t>
      </w:r>
      <w:r w:rsidR="00F00ED8">
        <w:t xml:space="preserve">, </w:t>
      </w:r>
      <w:r w:rsidR="004C1108">
        <w:t xml:space="preserve">I cannot conclude that </w:t>
      </w:r>
      <w:r w:rsidR="004C37EB">
        <w:t xml:space="preserve">the </w:t>
      </w:r>
      <w:r w:rsidR="00EC2C9D">
        <w:t>sheer side wall elements</w:t>
      </w:r>
      <w:r w:rsidR="001E3480">
        <w:t xml:space="preserve"> of the </w:t>
      </w:r>
      <w:r w:rsidR="004C37EB">
        <w:t>proposed “neo-</w:t>
      </w:r>
      <w:r w:rsidR="00B13B8F">
        <w:t>Georgian</w:t>
      </w:r>
      <w:r w:rsidR="004C37EB">
        <w:t>” form</w:t>
      </w:r>
      <w:r w:rsidR="00B13B8F">
        <w:t xml:space="preserve"> </w:t>
      </w:r>
      <w:r w:rsidR="001C1BE4">
        <w:t>will sit comfortably in th</w:t>
      </w:r>
      <w:r w:rsidR="000A5396">
        <w:t>is</w:t>
      </w:r>
      <w:r w:rsidR="001C1BE4">
        <w:t xml:space="preserve"> streetscape</w:t>
      </w:r>
      <w:r w:rsidR="00F96979">
        <w:t xml:space="preserve">. </w:t>
      </w:r>
      <w:r w:rsidR="004E4E2E">
        <w:t xml:space="preserve">The collective visual effect of the four proposed dwellings </w:t>
      </w:r>
      <w:r w:rsidR="004F3392">
        <w:t>compounds th</w:t>
      </w:r>
      <w:r w:rsidR="001B3990">
        <w:t>eir</w:t>
      </w:r>
      <w:r w:rsidR="004F3392">
        <w:t xml:space="preserve"> prominence and </w:t>
      </w:r>
      <w:r w:rsidR="00C17F72">
        <w:t xml:space="preserve">I find the outcome </w:t>
      </w:r>
      <w:r w:rsidR="007C46FF">
        <w:t>is not</w:t>
      </w:r>
      <w:r w:rsidR="00DC1036">
        <w:t xml:space="preserve"> “consistent with the emerging character of the area” nor</w:t>
      </w:r>
      <w:r w:rsidR="004B2C87">
        <w:t xml:space="preserve"> does it “respond positively to the topography of the site.</w:t>
      </w:r>
      <w:r w:rsidR="002D106A">
        <w:t>”</w:t>
      </w:r>
      <w:r w:rsidR="00640285">
        <w:t xml:space="preserve"> </w:t>
      </w:r>
      <w:r w:rsidR="00F96979">
        <w:t xml:space="preserve"> </w:t>
      </w:r>
    </w:p>
    <w:p w14:paraId="4D9399E7" w14:textId="629690C3" w:rsidR="00755959" w:rsidRDefault="001C1F9A" w:rsidP="00755959">
      <w:pPr>
        <w:pStyle w:val="Para1"/>
      </w:pPr>
      <w:r>
        <w:t>The dominance within the streetscape</w:t>
      </w:r>
      <w:r w:rsidR="006643A9">
        <w:t xml:space="preserve"> is also influenced by the orientation of the </w:t>
      </w:r>
      <w:r w:rsidR="00536B72">
        <w:t>subject land to</w:t>
      </w:r>
      <w:r>
        <w:t xml:space="preserve"> </w:t>
      </w:r>
      <w:r w:rsidR="00536B72">
        <w:t>the east. It is convenien</w:t>
      </w:r>
      <w:r w:rsidR="004550E0">
        <w:t xml:space="preserve">t (and acceptable) to select the east facing </w:t>
      </w:r>
      <w:r w:rsidR="00E90EF2">
        <w:t>boundary as the frontage</w:t>
      </w:r>
      <w:r w:rsidR="00A616B6">
        <w:t xml:space="preserve">. </w:t>
      </w:r>
      <w:r w:rsidR="003036D5">
        <w:t>Accordingly, p</w:t>
      </w:r>
      <w:r w:rsidR="00E90EF2">
        <w:t xml:space="preserve">roposed dwelling 1 is set back </w:t>
      </w:r>
      <w:r w:rsidR="00102D86">
        <w:t xml:space="preserve">7.6 metres </w:t>
      </w:r>
      <w:r w:rsidR="00877CD9">
        <w:t xml:space="preserve">from the eastern front boundary </w:t>
      </w:r>
      <w:r w:rsidR="00E90EF2">
        <w:t xml:space="preserve">in accordance </w:t>
      </w:r>
      <w:r w:rsidR="00CB00F3">
        <w:t xml:space="preserve">with </w:t>
      </w:r>
      <w:r w:rsidR="00FC6ECF">
        <w:t>the GRZ3 var</w:t>
      </w:r>
      <w:r w:rsidR="00124D25">
        <w:t>iation of standard B6 (street setback) at Clause 55.03-1.</w:t>
      </w:r>
      <w:r w:rsidR="00AB1520">
        <w:t xml:space="preserve"> This means</w:t>
      </w:r>
      <w:r w:rsidR="00777F70">
        <w:t xml:space="preserve"> </w:t>
      </w:r>
      <w:r w:rsidR="00AB1520">
        <w:t>that the longe</w:t>
      </w:r>
      <w:r w:rsidR="00777F70">
        <w:t xml:space="preserve">r </w:t>
      </w:r>
      <w:r w:rsidR="005513A5">
        <w:t xml:space="preserve">northern </w:t>
      </w:r>
      <w:r w:rsidR="00777F70">
        <w:t>‘side’ boundary facing Oak Hill Road</w:t>
      </w:r>
      <w:r w:rsidR="002B4759">
        <w:t xml:space="preserve">, which extends for </w:t>
      </w:r>
      <w:r w:rsidR="00D7227B">
        <w:t>approximately 53 metres (excluding the corner splay)</w:t>
      </w:r>
      <w:r w:rsidR="005513A5">
        <w:t xml:space="preserve">, contains four buildings </w:t>
      </w:r>
      <w:r w:rsidR="00754FDD">
        <w:t>with setbacks stepping back from</w:t>
      </w:r>
      <w:r w:rsidR="005B7AEE">
        <w:t xml:space="preserve"> east to west, commencing with </w:t>
      </w:r>
      <w:r w:rsidR="00BD414A">
        <w:t xml:space="preserve">the side of </w:t>
      </w:r>
      <w:r w:rsidR="005B7AEE">
        <w:t xml:space="preserve">dwelling 1 at </w:t>
      </w:r>
      <w:r w:rsidR="00AB706D">
        <w:t>3 metres</w:t>
      </w:r>
      <w:r w:rsidR="0029100A">
        <w:t xml:space="preserve">, </w:t>
      </w:r>
      <w:r w:rsidR="00802ABE">
        <w:t xml:space="preserve">the front of </w:t>
      </w:r>
      <w:r w:rsidR="0029100A">
        <w:t xml:space="preserve">dwelling 2 at </w:t>
      </w:r>
      <w:r w:rsidR="00F2300A">
        <w:t xml:space="preserve">4.5 metres and dwellings 3 and 4 at </w:t>
      </w:r>
      <w:r w:rsidR="0029100A">
        <w:t>5.5 metres</w:t>
      </w:r>
      <w:r w:rsidR="00E701C6">
        <w:t xml:space="preserve">. The adjacent development to the west at </w:t>
      </w:r>
      <w:r w:rsidR="00A05196">
        <w:t xml:space="preserve">12 Oak </w:t>
      </w:r>
      <w:r w:rsidR="007647BC">
        <w:t>H</w:t>
      </w:r>
      <w:r w:rsidR="00A05196">
        <w:t>ill Road</w:t>
      </w:r>
      <w:r w:rsidR="00623292">
        <w:t xml:space="preserve"> is currently being developed </w:t>
      </w:r>
      <w:r w:rsidR="005527B8">
        <w:t>with</w:t>
      </w:r>
      <w:r w:rsidR="007647BC">
        <w:t xml:space="preserve"> two side by side dwellings </w:t>
      </w:r>
      <w:r w:rsidR="005527B8">
        <w:t>set back 7.6 metres</w:t>
      </w:r>
      <w:r w:rsidR="00F7306B">
        <w:t xml:space="preserve"> from the frontage</w:t>
      </w:r>
      <w:r w:rsidR="00E654F2">
        <w:t>.</w:t>
      </w:r>
      <w:r w:rsidR="00D7227B">
        <w:t xml:space="preserve"> </w:t>
      </w:r>
    </w:p>
    <w:p w14:paraId="118D9417" w14:textId="705C9AA5" w:rsidR="00E26A87" w:rsidRDefault="002D266D" w:rsidP="00755959">
      <w:pPr>
        <w:pStyle w:val="Para1"/>
      </w:pPr>
      <w:r>
        <w:t xml:space="preserve">As a consequence of the above arrangement of dwellings, the longest street boundary </w:t>
      </w:r>
      <w:r w:rsidR="006C6823">
        <w:t>has the more dominant building form</w:t>
      </w:r>
      <w:r w:rsidR="00BC23C9">
        <w:t xml:space="preserve">, brought </w:t>
      </w:r>
      <w:r w:rsidR="00E409D1">
        <w:t>closer to the street</w:t>
      </w:r>
      <w:r w:rsidR="00BC23C9">
        <w:t xml:space="preserve"> </w:t>
      </w:r>
      <w:r w:rsidR="00E409D1">
        <w:t xml:space="preserve">by </w:t>
      </w:r>
      <w:r w:rsidR="008834AC">
        <w:t>treating the</w:t>
      </w:r>
      <w:r w:rsidR="00E409D1">
        <w:t xml:space="preserve"> northern</w:t>
      </w:r>
      <w:r w:rsidR="00AC363F">
        <w:t xml:space="preserve"> </w:t>
      </w:r>
      <w:r w:rsidR="00FE61FA">
        <w:t xml:space="preserve">aspect as a </w:t>
      </w:r>
      <w:r w:rsidR="00AC363F">
        <w:t>side boundary.</w:t>
      </w:r>
      <w:r w:rsidR="008834AC">
        <w:t xml:space="preserve"> </w:t>
      </w:r>
      <w:r w:rsidR="00B81DCD">
        <w:t xml:space="preserve">I find </w:t>
      </w:r>
      <w:r w:rsidR="008834AC">
        <w:t xml:space="preserve">the </w:t>
      </w:r>
      <w:r w:rsidR="007726CC">
        <w:t xml:space="preserve">decision to create four </w:t>
      </w:r>
      <w:r w:rsidR="008D3CAB">
        <w:t xml:space="preserve">large double storey dwellings </w:t>
      </w:r>
      <w:r w:rsidR="00F27668">
        <w:t>in relatively close proximity to the longest street boundary is unacceptable.</w:t>
      </w:r>
      <w:r w:rsidR="008D3CAB">
        <w:t xml:space="preserve"> </w:t>
      </w:r>
      <w:r w:rsidR="0080697B">
        <w:t xml:space="preserve">If the intent is to create four separate dwellings, </w:t>
      </w:r>
      <w:r w:rsidR="007F426C">
        <w:t>a</w:t>
      </w:r>
      <w:r w:rsidR="00365E95">
        <w:t xml:space="preserve"> more respectful response</w:t>
      </w:r>
      <w:r w:rsidR="005E7D35">
        <w:t xml:space="preserve"> may have elected to provide greater recession </w:t>
      </w:r>
      <w:r w:rsidR="00F33698">
        <w:t xml:space="preserve">of the front and side setbacks, </w:t>
      </w:r>
      <w:r w:rsidR="00BB3B16">
        <w:t xml:space="preserve">particularly at the upper level, </w:t>
      </w:r>
      <w:r w:rsidR="00F33698">
        <w:t xml:space="preserve">or perhaps </w:t>
      </w:r>
      <w:r w:rsidR="00CF0C51">
        <w:t>front</w:t>
      </w:r>
      <w:r w:rsidR="00A94DB5">
        <w:t>ages</w:t>
      </w:r>
      <w:r w:rsidR="00CF0C51">
        <w:t xml:space="preserve"> that </w:t>
      </w:r>
      <w:r w:rsidR="00F242A2">
        <w:t>set one part of the front façade further back</w:t>
      </w:r>
      <w:r w:rsidR="00A94DB5">
        <w:t xml:space="preserve"> </w:t>
      </w:r>
      <w:r w:rsidR="00B64A74">
        <w:t>to provide greater articulation and garden space.</w:t>
      </w:r>
    </w:p>
    <w:p w14:paraId="7801AE60" w14:textId="6685B017" w:rsidR="00EB2DDF" w:rsidRDefault="00355B2E" w:rsidP="00755959">
      <w:pPr>
        <w:pStyle w:val="Para1"/>
      </w:pPr>
      <w:r>
        <w:t>Notwithstanding the above des</w:t>
      </w:r>
      <w:r w:rsidR="00A251C4">
        <w:t>ign failure, t</w:t>
      </w:r>
      <w:r w:rsidR="008A0365">
        <w:t xml:space="preserve">he proposed development can demonstrate technical compliance </w:t>
      </w:r>
      <w:r w:rsidR="00665661">
        <w:t xml:space="preserve">with </w:t>
      </w:r>
      <w:r w:rsidR="008964CF">
        <w:t>many of the</w:t>
      </w:r>
      <w:r w:rsidR="00F06F03">
        <w:t xml:space="preserve"> design standards of Clause 55</w:t>
      </w:r>
      <w:r w:rsidR="00C13B78">
        <w:t xml:space="preserve">, </w:t>
      </w:r>
      <w:r w:rsidR="00E26808">
        <w:t xml:space="preserve">notably the design </w:t>
      </w:r>
      <w:r w:rsidR="00586203">
        <w:t>guidelines for</w:t>
      </w:r>
      <w:r w:rsidR="00E26808">
        <w:t xml:space="preserve"> access, open space</w:t>
      </w:r>
      <w:r w:rsidR="00586203">
        <w:t xml:space="preserve">, </w:t>
      </w:r>
      <w:r w:rsidR="00E732AE">
        <w:t>building setbacks,</w:t>
      </w:r>
      <w:r w:rsidR="00665661">
        <w:t xml:space="preserve"> </w:t>
      </w:r>
      <w:r w:rsidR="00E732AE">
        <w:t xml:space="preserve">walls on boundaries, </w:t>
      </w:r>
      <w:r w:rsidR="007C4B7E">
        <w:t>access to natural light</w:t>
      </w:r>
      <w:r w:rsidR="00EE5CEC">
        <w:t>, overshadowing and overlooking</w:t>
      </w:r>
      <w:r w:rsidR="00426A77">
        <w:t>.</w:t>
      </w:r>
      <w:r w:rsidR="00980AD0">
        <w:t xml:space="preserve"> </w:t>
      </w:r>
      <w:r w:rsidR="008B6492">
        <w:t>Although I acknowledge the above compliance, I must part ways with the applicant</w:t>
      </w:r>
      <w:r w:rsidR="00E41D1B">
        <w:t xml:space="preserve"> in relation</w:t>
      </w:r>
      <w:r w:rsidR="00A851E1">
        <w:t xml:space="preserve"> </w:t>
      </w:r>
      <w:r w:rsidR="00E41D1B">
        <w:t xml:space="preserve">to </w:t>
      </w:r>
      <w:r w:rsidR="009C24CC">
        <w:t xml:space="preserve">the </w:t>
      </w:r>
      <w:r w:rsidR="00BF4B90">
        <w:t xml:space="preserve">response to the </w:t>
      </w:r>
      <w:r w:rsidR="009C24CC">
        <w:t xml:space="preserve">design guidelines concerning </w:t>
      </w:r>
      <w:r w:rsidR="00ED59F7">
        <w:t>integration with the stree</w:t>
      </w:r>
      <w:r w:rsidR="000204FB">
        <w:t>t</w:t>
      </w:r>
      <w:r w:rsidR="00A53767">
        <w:t>, neighbourhood character</w:t>
      </w:r>
      <w:r w:rsidR="00ED59F7">
        <w:t xml:space="preserve"> and </w:t>
      </w:r>
      <w:r w:rsidR="000204FB">
        <w:t>detailed design</w:t>
      </w:r>
      <w:r w:rsidR="000F7E52">
        <w:t xml:space="preserve">. </w:t>
      </w:r>
      <w:r w:rsidR="003F42A1">
        <w:t xml:space="preserve">For reasons set out earlier, </w:t>
      </w:r>
      <w:r w:rsidR="000F7E52">
        <w:t xml:space="preserve">I find </w:t>
      </w:r>
      <w:r w:rsidR="008F616B">
        <w:t>these aspects of the</w:t>
      </w:r>
      <w:r w:rsidR="000F7E52">
        <w:t xml:space="preserve"> design response </w:t>
      </w:r>
      <w:r w:rsidR="00ED59F7">
        <w:t xml:space="preserve">are </w:t>
      </w:r>
      <w:r w:rsidR="008F616B">
        <w:t xml:space="preserve">not </w:t>
      </w:r>
      <w:r w:rsidR="00BF4B90">
        <w:t>acceptable.</w:t>
      </w:r>
    </w:p>
    <w:p w14:paraId="29BAEDF7" w14:textId="56887730" w:rsidR="00BF4B90" w:rsidRDefault="00924C05" w:rsidP="00755959">
      <w:pPr>
        <w:pStyle w:val="Para1"/>
      </w:pPr>
      <w:r>
        <w:t xml:space="preserve">I accept that </w:t>
      </w:r>
      <w:r w:rsidR="004C6E79">
        <w:t xml:space="preserve">standard B29 </w:t>
      </w:r>
      <w:r w:rsidR="003E54EE">
        <w:t>concerning solar access to open space can be met</w:t>
      </w:r>
      <w:r w:rsidR="00BA7C14">
        <w:t xml:space="preserve"> although </w:t>
      </w:r>
      <w:r w:rsidR="007958FC">
        <w:t xml:space="preserve">bare compliance does not assist the internal amenity for </w:t>
      </w:r>
      <w:r w:rsidR="00B311CC">
        <w:t>future</w:t>
      </w:r>
      <w:r w:rsidR="007958FC">
        <w:t xml:space="preserve"> residents, given th</w:t>
      </w:r>
      <w:r w:rsidR="00F2405A">
        <w:t>at all four of the secluded private open space areas are on the south side of double storey buildings</w:t>
      </w:r>
      <w:r w:rsidR="00D8224B">
        <w:t>,</w:t>
      </w:r>
      <w:r w:rsidR="00B311CC">
        <w:t xml:space="preserve"> with only minor upper level recession. </w:t>
      </w:r>
      <w:r w:rsidR="00081434">
        <w:t xml:space="preserve">The design ameliorates this problem by </w:t>
      </w:r>
      <w:r w:rsidR="00E4630A">
        <w:t xml:space="preserve">creating west facing internal light courts, </w:t>
      </w:r>
      <w:r w:rsidR="0013456C">
        <w:t xml:space="preserve">however, the fact remains that </w:t>
      </w:r>
      <w:r w:rsidR="00B52599">
        <w:t>a significant proportion</w:t>
      </w:r>
      <w:r w:rsidR="008945B5">
        <w:t xml:space="preserve"> of </w:t>
      </w:r>
      <w:r w:rsidR="0013456C">
        <w:t xml:space="preserve">the rear outdoor garden spaces </w:t>
      </w:r>
      <w:r w:rsidR="008945B5">
        <w:t>remain in</w:t>
      </w:r>
      <w:r w:rsidR="00004107">
        <w:t xml:space="preserve"> </w:t>
      </w:r>
      <w:r w:rsidR="0013456C">
        <w:t>shadow</w:t>
      </w:r>
      <w:r w:rsidR="00004107">
        <w:t xml:space="preserve"> at the equinox.</w:t>
      </w:r>
      <w:r w:rsidR="006E4C5C">
        <w:t xml:space="preserve"> </w:t>
      </w:r>
      <w:r w:rsidR="00C62DA7">
        <w:t>This may have been addressed</w:t>
      </w:r>
      <w:r w:rsidR="00E622AA">
        <w:t xml:space="preserve"> by less dominant upper level building form or </w:t>
      </w:r>
      <w:r w:rsidR="00E2484E">
        <w:rPr>
          <w:noProof/>
        </w:rPr>
        <w:lastRenderedPageBreak/>
        <w:drawing>
          <wp:anchor distT="0" distB="0" distL="114300" distR="114300" simplePos="0" relativeHeight="251669504" behindDoc="1" locked="0" layoutInCell="1" allowOverlap="1" wp14:anchorId="4C514740" wp14:editId="2F71E91A">
            <wp:simplePos x="0" y="0"/>
            <wp:positionH relativeFrom="column">
              <wp:posOffset>5183505</wp:posOffset>
            </wp:positionH>
            <wp:positionV relativeFrom="paragraph">
              <wp:posOffset>8459470</wp:posOffset>
            </wp:positionV>
            <wp:extent cx="1080000" cy="1080000"/>
            <wp:effectExtent l="0" t="0" r="6350" b="6350"/>
            <wp:wrapNone/>
            <wp:docPr id="14" name="VCAT Seal12"/>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622AA">
        <w:t xml:space="preserve">perhaps a </w:t>
      </w:r>
      <w:r w:rsidR="00207534">
        <w:t>different</w:t>
      </w:r>
      <w:r w:rsidR="00E622AA">
        <w:t xml:space="preserve"> </w:t>
      </w:r>
      <w:r w:rsidR="00207534">
        <w:t xml:space="preserve">building configuration that allows </w:t>
      </w:r>
      <w:r w:rsidR="00BD2168">
        <w:t>a higher proportion of northern sunlight to penetrate rear open spaces.</w:t>
      </w:r>
    </w:p>
    <w:p w14:paraId="6315A679" w14:textId="0CA1983D" w:rsidR="00A01CBB" w:rsidRDefault="00A01CBB" w:rsidP="00A01CBB">
      <w:pPr>
        <w:pStyle w:val="Heading3"/>
      </w:pPr>
      <w:r>
        <w:t>Landscap</w:t>
      </w:r>
      <w:r w:rsidR="00BE0A92">
        <w:t>e</w:t>
      </w:r>
    </w:p>
    <w:p w14:paraId="2A001232" w14:textId="5B3B18D3" w:rsidR="002C5E6A" w:rsidRDefault="00C15E42" w:rsidP="00BE0A92">
      <w:pPr>
        <w:pStyle w:val="Para1"/>
      </w:pPr>
      <w:r>
        <w:t>The landscape plan submitted by Ms Lee in her evidence</w:t>
      </w:r>
      <w:r w:rsidR="00C97C35">
        <w:t xml:space="preserve"> </w:t>
      </w:r>
      <w:r w:rsidR="00FB1603">
        <w:t xml:space="preserve">provides a considered response to landscaping the available spaces </w:t>
      </w:r>
      <w:r w:rsidR="005B753C">
        <w:t>within this proposal.</w:t>
      </w:r>
      <w:r w:rsidR="007107D6">
        <w:t xml:space="preserve"> </w:t>
      </w:r>
      <w:r w:rsidR="0049763B">
        <w:t xml:space="preserve">The layout of the proposed dwellings allows for </w:t>
      </w:r>
      <w:r w:rsidR="003109B0">
        <w:t xml:space="preserve">perimeter planting within the site </w:t>
      </w:r>
      <w:r w:rsidR="00231041">
        <w:t xml:space="preserve">to the north, east and south, with </w:t>
      </w:r>
      <w:r w:rsidR="008849FD">
        <w:t>a small Benj</w:t>
      </w:r>
      <w:r w:rsidR="001F25CA">
        <w:t>a</w:t>
      </w:r>
      <w:r w:rsidR="008849FD">
        <w:t xml:space="preserve">mina Fig in each </w:t>
      </w:r>
      <w:r w:rsidR="001F25CA">
        <w:t>of the three west facing light courts.</w:t>
      </w:r>
      <w:r w:rsidR="003F3579">
        <w:t xml:space="preserve"> External to the site, there are four small street trees in the nature strip on the northern and east</w:t>
      </w:r>
      <w:r w:rsidR="00392826">
        <w:t>ern</w:t>
      </w:r>
      <w:r w:rsidR="003F3579">
        <w:t xml:space="preserve"> sides of the subject land</w:t>
      </w:r>
      <w:r w:rsidR="009C5106">
        <w:t>. I note that</w:t>
      </w:r>
      <w:r w:rsidR="003F3579">
        <w:t xml:space="preserve"> none of </w:t>
      </w:r>
      <w:r w:rsidR="0032215F">
        <w:t xml:space="preserve">the street trees </w:t>
      </w:r>
      <w:r w:rsidR="003F3579">
        <w:t>make a meaningful landscape contribution to the streetscape at this time.</w:t>
      </w:r>
    </w:p>
    <w:p w14:paraId="2E5A17BB" w14:textId="111B2447" w:rsidR="00BE0A92" w:rsidRDefault="00395A17" w:rsidP="00BE0A92">
      <w:pPr>
        <w:pStyle w:val="Para1"/>
      </w:pPr>
      <w:r>
        <w:t xml:space="preserve">Within </w:t>
      </w:r>
      <w:r w:rsidR="002C5E6A">
        <w:t>the eastern front</w:t>
      </w:r>
      <w:r>
        <w:t xml:space="preserve"> setback </w:t>
      </w:r>
      <w:r w:rsidR="00FD7DC9">
        <w:t>to Oak Hill Roa</w:t>
      </w:r>
      <w:r w:rsidR="006869B4">
        <w:t>d,</w:t>
      </w:r>
      <w:r>
        <w:t xml:space="preserve"> three Illawarra Flame trees </w:t>
      </w:r>
      <w:r w:rsidR="006869B4">
        <w:t xml:space="preserve">are proposed to reach </w:t>
      </w:r>
      <w:r w:rsidR="00C61166">
        <w:t xml:space="preserve">a height </w:t>
      </w:r>
      <w:r w:rsidR="00124571">
        <w:t xml:space="preserve">of </w:t>
      </w:r>
      <w:r w:rsidR="00C61166">
        <w:t>12 metres</w:t>
      </w:r>
      <w:r w:rsidR="00124571">
        <w:t xml:space="preserve">. Along the northern </w:t>
      </w:r>
      <w:r w:rsidR="00FD7DC9">
        <w:t>(side) frontage to Oak Hill Road</w:t>
      </w:r>
      <w:r w:rsidR="0036276A">
        <w:t>,</w:t>
      </w:r>
      <w:r w:rsidR="00FD7DC9">
        <w:t xml:space="preserve"> </w:t>
      </w:r>
      <w:r w:rsidR="00B72D7D">
        <w:t xml:space="preserve">three </w:t>
      </w:r>
      <w:r w:rsidR="00364A35">
        <w:t xml:space="preserve">Crab Apples and </w:t>
      </w:r>
      <w:r w:rsidR="00B72D7D">
        <w:t xml:space="preserve">three </w:t>
      </w:r>
      <w:r w:rsidR="00364A35">
        <w:t>Tuck</w:t>
      </w:r>
      <w:r w:rsidR="006748F8">
        <w:t>e</w:t>
      </w:r>
      <w:r w:rsidR="00364A35">
        <w:t xml:space="preserve">roo trees </w:t>
      </w:r>
      <w:r w:rsidR="0036276A">
        <w:t xml:space="preserve">are proposed to </w:t>
      </w:r>
      <w:r w:rsidR="00780A7C">
        <w:t xml:space="preserve">grow </w:t>
      </w:r>
      <w:r w:rsidR="00364A35">
        <w:t xml:space="preserve">to </w:t>
      </w:r>
      <w:r w:rsidR="00446A6A">
        <w:t>8 and 7 metres respectively</w:t>
      </w:r>
      <w:r w:rsidR="000024D5">
        <w:t>.</w:t>
      </w:r>
      <w:r w:rsidR="0099708B">
        <w:t xml:space="preserve"> </w:t>
      </w:r>
      <w:r w:rsidR="00376EB5">
        <w:t xml:space="preserve">Proposed at the rear </w:t>
      </w:r>
      <w:r w:rsidR="0019198E">
        <w:t>of dwelling</w:t>
      </w:r>
      <w:r w:rsidR="00A61116">
        <w:t xml:space="preserve"> 1</w:t>
      </w:r>
      <w:r w:rsidR="0019198E">
        <w:t xml:space="preserve"> </w:t>
      </w:r>
      <w:r w:rsidR="00A61116">
        <w:t xml:space="preserve">is a Tuckeroo, and at the rear of </w:t>
      </w:r>
      <w:r w:rsidR="00D510BC">
        <w:t xml:space="preserve">dwellings 2, 3 and 4 are three </w:t>
      </w:r>
      <w:r w:rsidR="00F878AE">
        <w:t>Red Maples</w:t>
      </w:r>
      <w:r w:rsidR="00780A7C">
        <w:t>, all</w:t>
      </w:r>
      <w:r w:rsidR="00F878AE">
        <w:t xml:space="preserve"> to reach 12 metres</w:t>
      </w:r>
      <w:r w:rsidR="0019198E">
        <w:t>.</w:t>
      </w:r>
      <w:r w:rsidR="00A05B20">
        <w:t xml:space="preserve"> </w:t>
      </w:r>
      <w:r w:rsidR="00F878AE">
        <w:t xml:space="preserve"> </w:t>
      </w:r>
    </w:p>
    <w:p w14:paraId="0A12F352" w14:textId="1FAB8CBA" w:rsidR="004015D9" w:rsidRPr="00BE0A92" w:rsidRDefault="004015D9" w:rsidP="00BE0A92">
      <w:pPr>
        <w:pStyle w:val="Para1"/>
      </w:pPr>
      <w:r>
        <w:t>I consider the proposed landscape plan makes good use of the available spaces</w:t>
      </w:r>
      <w:r w:rsidR="00F34AF8">
        <w:t xml:space="preserve">, with </w:t>
      </w:r>
      <w:r w:rsidR="002A5FD2">
        <w:t xml:space="preserve">an </w:t>
      </w:r>
      <w:r w:rsidR="00F34AF8">
        <w:t xml:space="preserve">appropriate </w:t>
      </w:r>
      <w:r w:rsidR="002A5FD2">
        <w:t>tree selection</w:t>
      </w:r>
      <w:r w:rsidR="00C87343">
        <w:t xml:space="preserve"> </w:t>
      </w:r>
      <w:r w:rsidR="002A5FD2">
        <w:t xml:space="preserve">that </w:t>
      </w:r>
      <w:r w:rsidR="00014570">
        <w:t>soften</w:t>
      </w:r>
      <w:r w:rsidR="002E72FF">
        <w:t>s</w:t>
      </w:r>
      <w:r w:rsidR="00014570">
        <w:t xml:space="preserve"> the visual effect of the proposed buildings </w:t>
      </w:r>
      <w:r w:rsidR="007A5D16">
        <w:t xml:space="preserve">as they present to </w:t>
      </w:r>
      <w:r w:rsidR="00156F5D">
        <w:t xml:space="preserve">both aspects of </w:t>
      </w:r>
      <w:r w:rsidR="007A5D16">
        <w:t>the street.</w:t>
      </w:r>
    </w:p>
    <w:p w14:paraId="61C7DBA7" w14:textId="1AEAA9D5" w:rsidR="00A813DB" w:rsidRDefault="00C7229B" w:rsidP="00C7229B">
      <w:pPr>
        <w:pStyle w:val="Heading3"/>
      </w:pPr>
      <w:r w:rsidRPr="00C7229B">
        <w:t>Amenity</w:t>
      </w:r>
    </w:p>
    <w:p w14:paraId="06CB306D" w14:textId="7F5EFC43" w:rsidR="00A813DB" w:rsidRDefault="004776AE" w:rsidP="00A813DB">
      <w:pPr>
        <w:pStyle w:val="Para1"/>
      </w:pPr>
      <w:r>
        <w:t>The amenity impacts</w:t>
      </w:r>
      <w:r w:rsidR="005F2D40">
        <w:t xml:space="preserve"> of potential significance arising from the </w:t>
      </w:r>
      <w:r w:rsidR="00FD7178">
        <w:t xml:space="preserve">design and form of the proposed dwellings are </w:t>
      </w:r>
      <w:r w:rsidR="0050753F">
        <w:t xml:space="preserve">overlooking, overshadowing and visual bulk. </w:t>
      </w:r>
    </w:p>
    <w:p w14:paraId="7A009DA8" w14:textId="5C2275C6" w:rsidR="0054088B" w:rsidRDefault="0054088B" w:rsidP="00A813DB">
      <w:pPr>
        <w:pStyle w:val="Para1"/>
      </w:pPr>
      <w:r>
        <w:t xml:space="preserve">Overlooking is </w:t>
      </w:r>
      <w:r w:rsidR="002C6AC1">
        <w:t xml:space="preserve">minimal </w:t>
      </w:r>
      <w:r w:rsidR="00E463D7">
        <w:t>toward the</w:t>
      </w:r>
      <w:r w:rsidR="00D065B2">
        <w:t xml:space="preserve"> adjoining properties to the west and the south</w:t>
      </w:r>
      <w:r w:rsidR="00C451C3">
        <w:t xml:space="preserve"> due to the use of high sill upper level windows and </w:t>
      </w:r>
      <w:r w:rsidR="00807000">
        <w:t>horizontal louvered</w:t>
      </w:r>
      <w:r w:rsidR="00A84794">
        <w:t xml:space="preserve"> screens</w:t>
      </w:r>
      <w:r w:rsidR="00807000">
        <w:t xml:space="preserve"> to a height of 1.7 metres above </w:t>
      </w:r>
      <w:r w:rsidR="00A5114F">
        <w:t xml:space="preserve">the </w:t>
      </w:r>
      <w:r w:rsidR="00807000">
        <w:t>finished floor level.</w:t>
      </w:r>
    </w:p>
    <w:p w14:paraId="529CCA06" w14:textId="23905653" w:rsidR="00A5114F" w:rsidRDefault="00A5114F" w:rsidP="00A813DB">
      <w:pPr>
        <w:pStyle w:val="Para1"/>
      </w:pPr>
      <w:r>
        <w:t xml:space="preserve">Overshadowing </w:t>
      </w:r>
      <w:r w:rsidR="00CA0464">
        <w:t>of</w:t>
      </w:r>
      <w:r>
        <w:t xml:space="preserve"> the </w:t>
      </w:r>
      <w:r w:rsidR="00CA0464">
        <w:t xml:space="preserve">open space areas </w:t>
      </w:r>
      <w:r w:rsidR="00E84604">
        <w:t>i</w:t>
      </w:r>
      <w:r w:rsidR="00CA0464">
        <w:t xml:space="preserve">n the adjoining properties to the south is minimal and compliant, due to the </w:t>
      </w:r>
      <w:r w:rsidR="00DD5E70">
        <w:t>pr</w:t>
      </w:r>
      <w:r w:rsidR="00576243">
        <w:t>op</w:t>
      </w:r>
      <w:r w:rsidR="00DD5E70">
        <w:t xml:space="preserve">osed </w:t>
      </w:r>
      <w:r w:rsidR="00576243">
        <w:t xml:space="preserve">upper level </w:t>
      </w:r>
      <w:r w:rsidR="00DD5E70">
        <w:t xml:space="preserve">rear setbacks of 7 </w:t>
      </w:r>
      <w:r w:rsidR="00576243">
        <w:t>metres for dwelling 2 and 9 metres for dwellings 3 and 4.</w:t>
      </w:r>
      <w:r w:rsidR="002459C5">
        <w:t xml:space="preserve"> Some overshadowing will occur to the </w:t>
      </w:r>
      <w:r w:rsidR="00FF6DF2">
        <w:t xml:space="preserve">rear open space area for </w:t>
      </w:r>
      <w:r w:rsidR="00CF6F51">
        <w:t>dwelling 1 currently under construction at 12 Oak Hill Road</w:t>
      </w:r>
      <w:r w:rsidR="00A45680">
        <w:t xml:space="preserve">, however, the plans demonstrate that the degree of overshadowing is </w:t>
      </w:r>
      <w:r w:rsidR="00024960">
        <w:t xml:space="preserve">prior to 11 am at the equinox and </w:t>
      </w:r>
      <w:r w:rsidR="00A45680">
        <w:t>compliant with standard</w:t>
      </w:r>
      <w:r w:rsidR="0033619D">
        <w:t xml:space="preserve"> B21 </w:t>
      </w:r>
      <w:r w:rsidR="00DC4E99">
        <w:t>(</w:t>
      </w:r>
      <w:r w:rsidR="0033619D">
        <w:t>overshadowing</w:t>
      </w:r>
      <w:r w:rsidR="00DC4E99">
        <w:t xml:space="preserve"> open space objective)</w:t>
      </w:r>
      <w:r w:rsidR="00653A33">
        <w:t>.</w:t>
      </w:r>
    </w:p>
    <w:p w14:paraId="734C624D" w14:textId="3561457A" w:rsidR="00D126BC" w:rsidRDefault="00D126BC" w:rsidP="00A813DB">
      <w:pPr>
        <w:pStyle w:val="Para1"/>
      </w:pPr>
      <w:r>
        <w:t xml:space="preserve">I consider the primary amenity </w:t>
      </w:r>
      <w:r w:rsidR="006F36A1">
        <w:t>impact for adjoining residents will be visual bulk</w:t>
      </w:r>
      <w:r w:rsidR="00E50434">
        <w:t>, primar</w:t>
      </w:r>
      <w:r w:rsidR="00E26119">
        <w:t xml:space="preserve">ily the </w:t>
      </w:r>
      <w:r w:rsidR="00D717D6">
        <w:t>combined effect of the double storey form of dwellings</w:t>
      </w:r>
      <w:r w:rsidR="002A2D3C">
        <w:t xml:space="preserve"> 2, 3 and 4 on the </w:t>
      </w:r>
      <w:r w:rsidR="004C48BF">
        <w:t xml:space="preserve">occupants at </w:t>
      </w:r>
      <w:r w:rsidR="00A83F11">
        <w:t xml:space="preserve">18 Oak Hill Road and </w:t>
      </w:r>
      <w:r w:rsidR="00BB0355">
        <w:t>1 Ralph Court.</w:t>
      </w:r>
      <w:r w:rsidR="007723B3">
        <w:t xml:space="preserve"> The impact is not critical in my assessment, due to the </w:t>
      </w:r>
      <w:r w:rsidR="00BD6456">
        <w:t xml:space="preserve">extent of the rear setback of </w:t>
      </w:r>
      <w:r w:rsidR="009C626C">
        <w:t>proposed dwellings, however,</w:t>
      </w:r>
      <w:r w:rsidR="005563B2">
        <w:t xml:space="preserve"> </w:t>
      </w:r>
      <w:r w:rsidR="009C626C">
        <w:t xml:space="preserve">a </w:t>
      </w:r>
      <w:r w:rsidR="006946EC">
        <w:t>more articulated</w:t>
      </w:r>
      <w:r w:rsidR="002F0328">
        <w:t xml:space="preserve"> and</w:t>
      </w:r>
      <w:r w:rsidR="006946EC">
        <w:t xml:space="preserve"> less dominant building form </w:t>
      </w:r>
      <w:r w:rsidR="002F0328">
        <w:t>would reduce the ‘</w:t>
      </w:r>
      <w:r w:rsidR="00911920">
        <w:t>wall</w:t>
      </w:r>
      <w:r w:rsidR="00533A4F">
        <w:t>ed</w:t>
      </w:r>
      <w:r w:rsidR="00911920">
        <w:t>’ effect of the th</w:t>
      </w:r>
      <w:r w:rsidR="00533A4F">
        <w:t>r</w:t>
      </w:r>
      <w:r w:rsidR="00911920">
        <w:t>ee dwellings.</w:t>
      </w:r>
      <w:r w:rsidR="005563B2">
        <w:t xml:space="preserve"> </w:t>
      </w:r>
    </w:p>
    <w:p w14:paraId="6776CFDF" w14:textId="1CB7194C" w:rsidR="00317E66" w:rsidRDefault="00E2484E" w:rsidP="00A813DB">
      <w:pPr>
        <w:pStyle w:val="Para1"/>
      </w:pPr>
      <w:r>
        <w:rPr>
          <w:noProof/>
        </w:rPr>
        <w:lastRenderedPageBreak/>
        <w:drawing>
          <wp:anchor distT="0" distB="0" distL="114300" distR="114300" simplePos="0" relativeHeight="251670528" behindDoc="1" locked="0" layoutInCell="1" allowOverlap="1" wp14:anchorId="375241D1" wp14:editId="10E7E212">
            <wp:simplePos x="0" y="0"/>
            <wp:positionH relativeFrom="column">
              <wp:posOffset>5183505</wp:posOffset>
            </wp:positionH>
            <wp:positionV relativeFrom="paragraph">
              <wp:posOffset>8459470</wp:posOffset>
            </wp:positionV>
            <wp:extent cx="1080000" cy="1080000"/>
            <wp:effectExtent l="0" t="0" r="6350" b="6350"/>
            <wp:wrapNone/>
            <wp:docPr id="15" name="VCAT Seal13"/>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3529">
        <w:t>It is disappointing th</w:t>
      </w:r>
      <w:r w:rsidR="009663A9">
        <w:t>at</w:t>
      </w:r>
      <w:r w:rsidR="007E3529">
        <w:t xml:space="preserve"> </w:t>
      </w:r>
      <w:r w:rsidR="009663A9">
        <w:t>despite the degree of compliance with the design guidelines of ResCode at Clause 55</w:t>
      </w:r>
      <w:r w:rsidR="004E38AE">
        <w:t xml:space="preserve">, </w:t>
      </w:r>
      <w:r w:rsidR="00C25029">
        <w:t xml:space="preserve">I </w:t>
      </w:r>
      <w:r w:rsidR="00224CA1">
        <w:t>find</w:t>
      </w:r>
      <w:r w:rsidR="00C25029">
        <w:t xml:space="preserve"> </w:t>
      </w:r>
      <w:r w:rsidR="004E38AE">
        <w:t xml:space="preserve">this proposal </w:t>
      </w:r>
      <w:r w:rsidR="00262518">
        <w:t>will create</w:t>
      </w:r>
      <w:r w:rsidR="00625023">
        <w:t xml:space="preserve"> </w:t>
      </w:r>
      <w:r w:rsidR="00494060">
        <w:t xml:space="preserve">an unacceptable imposition on the </w:t>
      </w:r>
      <w:r w:rsidR="00576AA3">
        <w:t xml:space="preserve">streetscape due to </w:t>
      </w:r>
      <w:r w:rsidR="003920A7">
        <w:t xml:space="preserve">the proximity and visual bulk of the </w:t>
      </w:r>
      <w:r w:rsidR="00A86F7E">
        <w:t>repetitious building form</w:t>
      </w:r>
      <w:r w:rsidR="00576AA3">
        <w:t>.</w:t>
      </w:r>
    </w:p>
    <w:p w14:paraId="60CE5AFD" w14:textId="77777777" w:rsidR="00CC7D50" w:rsidRDefault="00CC7D50" w:rsidP="00CC7D50">
      <w:pPr>
        <w:pStyle w:val="Heading2"/>
      </w:pPr>
      <w:r>
        <w:t>other matters</w:t>
      </w:r>
    </w:p>
    <w:p w14:paraId="6FB33C00" w14:textId="050AEED3" w:rsidR="007E3529" w:rsidRPr="00A813DB" w:rsidRDefault="00CC7D50" w:rsidP="00CC7D50">
      <w:pPr>
        <w:pStyle w:val="Para1"/>
      </w:pPr>
      <w:r>
        <w:t xml:space="preserve">I acknowledge that </w:t>
      </w:r>
      <w:r w:rsidR="00D10726">
        <w:t>the objectors, who are not parties</w:t>
      </w:r>
      <w:r w:rsidR="00576AA3">
        <w:t xml:space="preserve"> </w:t>
      </w:r>
      <w:r w:rsidR="00D10726">
        <w:t xml:space="preserve">to this proceeding, expressed concern </w:t>
      </w:r>
      <w:r w:rsidR="00AD1B0F">
        <w:t xml:space="preserve">regarding a perceived increase in traffic congestion as a result of the proposed development. </w:t>
      </w:r>
      <w:r w:rsidR="00E6038E">
        <w:t>I do not cons</w:t>
      </w:r>
      <w:r w:rsidR="006758BF">
        <w:t>i</w:t>
      </w:r>
      <w:r w:rsidR="00E6038E">
        <w:t xml:space="preserve">der it necessary </w:t>
      </w:r>
      <w:r w:rsidR="006758BF">
        <w:t xml:space="preserve">that I address this </w:t>
      </w:r>
      <w:r w:rsidR="00AD1B0F">
        <w:t>iss</w:t>
      </w:r>
      <w:r w:rsidR="0007489E">
        <w:t xml:space="preserve">ue due to my decision to refuse the application </w:t>
      </w:r>
      <w:r w:rsidR="00C63D76">
        <w:t xml:space="preserve">for reasons </w:t>
      </w:r>
      <w:r w:rsidR="009D3F00">
        <w:t>that primarily concern</w:t>
      </w:r>
      <w:r w:rsidR="00C63D76">
        <w:t xml:space="preserve"> </w:t>
      </w:r>
      <w:r w:rsidR="009D3F00">
        <w:t>neighbourhood character</w:t>
      </w:r>
      <w:r w:rsidR="005A1E09">
        <w:t>.</w:t>
      </w:r>
    </w:p>
    <w:p w14:paraId="4FD5DFDF" w14:textId="77777777" w:rsidR="00E200CF" w:rsidRDefault="00E200CF" w:rsidP="00E200CF">
      <w:pPr>
        <w:pStyle w:val="Heading2"/>
      </w:pPr>
      <w:r>
        <w:t>Conclusion</w:t>
      </w:r>
    </w:p>
    <w:p w14:paraId="0B957046" w14:textId="433DCEE9" w:rsidR="005954E3" w:rsidRDefault="00CF5870" w:rsidP="00E200CF">
      <w:pPr>
        <w:pStyle w:val="Para1"/>
      </w:pPr>
      <w:r>
        <w:t>The subject land at 14-16 Oak hill Road is a large site well</w:t>
      </w:r>
      <w:r w:rsidR="00671127">
        <w:t xml:space="preserve"> suited to contribute to housing growth in Monash</w:t>
      </w:r>
      <w:r w:rsidR="00330939">
        <w:t xml:space="preserve">. </w:t>
      </w:r>
      <w:r w:rsidR="00402232">
        <w:t>Unfortunately</w:t>
      </w:r>
      <w:r w:rsidR="001D5A24">
        <w:t>, I find</w:t>
      </w:r>
      <w:r w:rsidR="00402232">
        <w:t xml:space="preserve"> t</w:t>
      </w:r>
      <w:r w:rsidR="00A52A69">
        <w:t>his proposal does not achieve the balance required between meeting the need for new housing in established areas and responding to the preferred future character.</w:t>
      </w:r>
    </w:p>
    <w:p w14:paraId="5AFA5CAE" w14:textId="4948DEBA" w:rsidR="00E200CF" w:rsidRPr="00F7088F" w:rsidRDefault="00E200CF" w:rsidP="00E200CF">
      <w:pPr>
        <w:pStyle w:val="Para1"/>
      </w:pPr>
      <w:r w:rsidRPr="00F7088F">
        <w:t xml:space="preserve">For the reasons given above, the decision of the </w:t>
      </w:r>
      <w:r w:rsidR="002563BE" w:rsidRPr="00F7088F">
        <w:t xml:space="preserve">responsible authority </w:t>
      </w:r>
      <w:r w:rsidRPr="00F7088F">
        <w:t>is affirmed.  No permit is granted.</w:t>
      </w:r>
    </w:p>
    <w:p w14:paraId="51C263EA" w14:textId="77777777" w:rsidR="00E200CF" w:rsidRDefault="00E200CF" w:rsidP="00E200CF"/>
    <w:p w14:paraId="2AC00B3B" w14:textId="65F86A7B" w:rsidR="00E200CF" w:rsidRDefault="00E200CF" w:rsidP="00E200CF"/>
    <w:tbl>
      <w:tblPr>
        <w:tblW w:w="5000" w:type="pct"/>
        <w:tblLook w:val="0000" w:firstRow="0" w:lastRow="0" w:firstColumn="0" w:lastColumn="0" w:noHBand="0" w:noVBand="0"/>
      </w:tblPr>
      <w:tblGrid>
        <w:gridCol w:w="3423"/>
        <w:gridCol w:w="1659"/>
        <w:gridCol w:w="3423"/>
      </w:tblGrid>
      <w:tr w:rsidR="00E200CF" w14:paraId="27BD7053" w14:textId="77777777" w:rsidTr="00BC190D">
        <w:tc>
          <w:tcPr>
            <w:tcW w:w="2012" w:type="pct"/>
          </w:tcPr>
          <w:p w14:paraId="247B8E42" w14:textId="77777777" w:rsidR="00E200CF" w:rsidRPr="00B876A2" w:rsidRDefault="005E6107" w:rsidP="00BC190D">
            <w:pPr>
              <w:rPr>
                <w:b/>
              </w:rPr>
            </w:pPr>
            <w:r>
              <w:rPr>
                <w:b/>
              </w:rPr>
              <w:t>Frank Dawson</w:t>
            </w:r>
          </w:p>
          <w:p w14:paraId="330D39D1" w14:textId="77777777" w:rsidR="00E200CF" w:rsidRDefault="00E200CF" w:rsidP="00BC190D">
            <w:pPr>
              <w:tabs>
                <w:tab w:val="left" w:pos="1515"/>
              </w:tabs>
              <w:rPr>
                <w:b/>
              </w:rPr>
            </w:pPr>
            <w:r>
              <w:rPr>
                <w:b/>
              </w:rPr>
              <w:t>Member</w:t>
            </w:r>
          </w:p>
        </w:tc>
        <w:tc>
          <w:tcPr>
            <w:tcW w:w="975" w:type="pct"/>
          </w:tcPr>
          <w:p w14:paraId="1D6FD77A" w14:textId="77777777" w:rsidR="00E200CF" w:rsidRDefault="00E200CF" w:rsidP="00BC190D"/>
        </w:tc>
        <w:tc>
          <w:tcPr>
            <w:tcW w:w="2012" w:type="pct"/>
          </w:tcPr>
          <w:p w14:paraId="66AA20E9" w14:textId="77777777" w:rsidR="00E200CF" w:rsidRDefault="00E200CF" w:rsidP="00BC190D"/>
        </w:tc>
      </w:tr>
    </w:tbl>
    <w:p w14:paraId="298AE649" w14:textId="77777777" w:rsidR="00E200CF" w:rsidRDefault="00E200CF" w:rsidP="00E200CF"/>
    <w:p w14:paraId="3C1B18F5" w14:textId="1195DB19" w:rsidR="00317BE4" w:rsidRPr="00606237" w:rsidRDefault="00317BE4" w:rsidP="003534C5">
      <w:pPr>
        <w:pStyle w:val="Para1"/>
        <w:numPr>
          <w:ilvl w:val="0"/>
          <w:numId w:val="0"/>
        </w:numPr>
        <w:ind w:left="567"/>
      </w:pPr>
    </w:p>
    <w:p w14:paraId="4B7D1D70" w14:textId="2D54F0F9" w:rsidR="003534C5" w:rsidRPr="00606237" w:rsidRDefault="003534C5" w:rsidP="003534C5">
      <w:pPr>
        <w:pStyle w:val="Para1"/>
        <w:numPr>
          <w:ilvl w:val="0"/>
          <w:numId w:val="0"/>
        </w:numPr>
        <w:ind w:left="567"/>
      </w:pPr>
      <w:r w:rsidRPr="00606237">
        <w:t xml:space="preserve">  </w:t>
      </w:r>
    </w:p>
    <w:p w14:paraId="50B158F5" w14:textId="0C54B132" w:rsidR="00E200CF" w:rsidRDefault="00E200CF" w:rsidP="00E200CF"/>
    <w:sectPr w:rsidR="00E200CF">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6B0B9" w14:textId="77777777" w:rsidR="00796D51" w:rsidRDefault="00796D51">
      <w:r>
        <w:separator/>
      </w:r>
    </w:p>
  </w:endnote>
  <w:endnote w:type="continuationSeparator" w:id="0">
    <w:p w14:paraId="445C32F6" w14:textId="77777777" w:rsidR="00796D51" w:rsidRDefault="00796D51">
      <w:r>
        <w:continuationSeparator/>
      </w:r>
    </w:p>
  </w:endnote>
  <w:endnote w:type="continuationNotice" w:id="1">
    <w:p w14:paraId="6A282E14" w14:textId="77777777" w:rsidR="00796D51" w:rsidRDefault="00796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19BBFA47" w14:textId="77777777">
      <w:trPr>
        <w:cantSplit/>
      </w:trPr>
      <w:tc>
        <w:tcPr>
          <w:tcW w:w="3884" w:type="pct"/>
        </w:tcPr>
        <w:p w14:paraId="17D06780" w14:textId="15542B56" w:rsidR="007F601B" w:rsidRDefault="007F601B">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 xml:space="preserve">VCAT Reference No. </w:t>
          </w:r>
          <w:r w:rsidR="004664BE">
            <w:rPr>
              <w:rFonts w:cs="Arial"/>
              <w:sz w:val="18"/>
              <w:szCs w:val="18"/>
            </w:rPr>
            <w:t>P1577/2019</w:t>
          </w:r>
        </w:p>
      </w:tc>
      <w:tc>
        <w:tcPr>
          <w:tcW w:w="1116" w:type="pct"/>
        </w:tcPr>
        <w:p w14:paraId="311F52E5"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EC5763">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EC5763">
            <w:rPr>
              <w:rFonts w:cs="Arial"/>
              <w:noProof/>
              <w:sz w:val="18"/>
              <w:szCs w:val="18"/>
            </w:rPr>
            <w:t>11</w:t>
          </w:r>
          <w:r>
            <w:rPr>
              <w:rFonts w:cs="Arial"/>
              <w:sz w:val="18"/>
              <w:szCs w:val="18"/>
            </w:rPr>
            <w:fldChar w:fldCharType="end"/>
          </w:r>
        </w:p>
      </w:tc>
    </w:tr>
  </w:tbl>
  <w:p w14:paraId="5B7D3C86" w14:textId="77777777" w:rsidR="007F601B" w:rsidRDefault="007F601B">
    <w:pPr>
      <w:pStyle w:val="Footer"/>
      <w:rPr>
        <w:sz w:val="2"/>
      </w:rPr>
    </w:pPr>
  </w:p>
  <w:p w14:paraId="6E87CC80" w14:textId="77777777" w:rsidR="007F601B" w:rsidRDefault="007F601B">
    <w:pPr>
      <w:rPr>
        <w:sz w:val="2"/>
      </w:rPr>
    </w:pPr>
  </w:p>
  <w:p w14:paraId="6ABD32F3"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322E9" w14:textId="77777777" w:rsidR="00796D51" w:rsidRDefault="00796D51">
      <w:pPr>
        <w:pStyle w:val="Footer"/>
        <w:pBdr>
          <w:top w:val="single" w:sz="4" w:space="1" w:color="auto"/>
        </w:pBdr>
        <w:rPr>
          <w:sz w:val="12"/>
        </w:rPr>
      </w:pPr>
    </w:p>
  </w:footnote>
  <w:footnote w:type="continuationSeparator" w:id="0">
    <w:p w14:paraId="161CE910" w14:textId="77777777" w:rsidR="00796D51" w:rsidRDefault="00796D51">
      <w:r>
        <w:continuationSeparator/>
      </w:r>
    </w:p>
  </w:footnote>
  <w:footnote w:type="continuationNotice" w:id="1">
    <w:p w14:paraId="3AA87B8B" w14:textId="77777777" w:rsidR="00796D51" w:rsidRDefault="00796D51"/>
  </w:footnote>
  <w:footnote w:id="2">
    <w:p w14:paraId="17A5D4C6" w14:textId="77777777" w:rsidR="00E200CF" w:rsidRDefault="00E200CF" w:rsidP="00E200CF">
      <w:pPr>
        <w:pStyle w:val="FootnoteText"/>
      </w:pPr>
      <w:r>
        <w:rPr>
          <w:rStyle w:val="FootnoteReference"/>
        </w:rPr>
        <w:footnoteRef/>
      </w:r>
      <w:r>
        <w:t xml:space="preserve"> </w:t>
      </w:r>
      <w:r>
        <w:tab/>
        <w:t xml:space="preserve">Section 4(2)(d) of the </w:t>
      </w:r>
      <w:r>
        <w:rPr>
          <w:i/>
        </w:rPr>
        <w:t>Victorian Civil and Administrative Tribunal Act 1998</w:t>
      </w:r>
      <w:r>
        <w:t xml:space="preserve"> states a failure to make a decision is deemed to be a decision to refuse to make the decision.  </w:t>
      </w:r>
    </w:p>
  </w:footnote>
  <w:footnote w:id="3">
    <w:p w14:paraId="4FE067D3" w14:textId="77777777" w:rsidR="00E200CF" w:rsidRDefault="00E200CF"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920717"/>
    <w:multiLevelType w:val="hybridMultilevel"/>
    <w:tmpl w:val="7B0012AE"/>
    <w:lvl w:ilvl="0" w:tplc="08090001">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CF74E1"/>
    <w:multiLevelType w:val="hybridMultilevel"/>
    <w:tmpl w:val="62F023D0"/>
    <w:lvl w:ilvl="0" w:tplc="08090001">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9" w15:restartNumberingAfterBreak="0">
    <w:nsid w:val="406D6109"/>
    <w:multiLevelType w:val="hybridMultilevel"/>
    <w:tmpl w:val="BC38254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FF4DCC"/>
    <w:multiLevelType w:val="hybridMultilevel"/>
    <w:tmpl w:val="AC06E86E"/>
    <w:lvl w:ilvl="0" w:tplc="08090001">
      <w:start w:val="1"/>
      <w:numFmt w:val="bullet"/>
      <w:lvlText w:val=""/>
      <w:lvlJc w:val="left"/>
      <w:pPr>
        <w:ind w:left="1351" w:hanging="360"/>
      </w:pPr>
      <w:rPr>
        <w:rFonts w:ascii="Symbol" w:hAnsi="Symbol" w:cs="Symbol" w:hint="default"/>
      </w:rPr>
    </w:lvl>
    <w:lvl w:ilvl="1" w:tplc="08090003" w:tentative="1">
      <w:start w:val="1"/>
      <w:numFmt w:val="bullet"/>
      <w:lvlText w:val="o"/>
      <w:lvlJc w:val="left"/>
      <w:pPr>
        <w:ind w:left="2071" w:hanging="360"/>
      </w:pPr>
      <w:rPr>
        <w:rFonts w:ascii="Courier New" w:hAnsi="Courier New" w:cs="Courier New" w:hint="default"/>
      </w:rPr>
    </w:lvl>
    <w:lvl w:ilvl="2" w:tplc="08090005" w:tentative="1">
      <w:start w:val="1"/>
      <w:numFmt w:val="bullet"/>
      <w:lvlText w:val=""/>
      <w:lvlJc w:val="left"/>
      <w:pPr>
        <w:ind w:left="2791" w:hanging="360"/>
      </w:pPr>
      <w:rPr>
        <w:rFonts w:ascii="Wingdings" w:hAnsi="Wingdings" w:cs="Wingdings" w:hint="default"/>
      </w:rPr>
    </w:lvl>
    <w:lvl w:ilvl="3" w:tplc="08090001" w:tentative="1">
      <w:start w:val="1"/>
      <w:numFmt w:val="bullet"/>
      <w:lvlText w:val=""/>
      <w:lvlJc w:val="left"/>
      <w:pPr>
        <w:ind w:left="3511" w:hanging="360"/>
      </w:pPr>
      <w:rPr>
        <w:rFonts w:ascii="Symbol" w:hAnsi="Symbol" w:cs="Symbol" w:hint="default"/>
      </w:rPr>
    </w:lvl>
    <w:lvl w:ilvl="4" w:tplc="08090003" w:tentative="1">
      <w:start w:val="1"/>
      <w:numFmt w:val="bullet"/>
      <w:lvlText w:val="o"/>
      <w:lvlJc w:val="left"/>
      <w:pPr>
        <w:ind w:left="4231" w:hanging="360"/>
      </w:pPr>
      <w:rPr>
        <w:rFonts w:ascii="Courier New" w:hAnsi="Courier New" w:cs="Courier New" w:hint="default"/>
      </w:rPr>
    </w:lvl>
    <w:lvl w:ilvl="5" w:tplc="08090005" w:tentative="1">
      <w:start w:val="1"/>
      <w:numFmt w:val="bullet"/>
      <w:lvlText w:val=""/>
      <w:lvlJc w:val="left"/>
      <w:pPr>
        <w:ind w:left="4951" w:hanging="360"/>
      </w:pPr>
      <w:rPr>
        <w:rFonts w:ascii="Wingdings" w:hAnsi="Wingdings" w:cs="Wingdings" w:hint="default"/>
      </w:rPr>
    </w:lvl>
    <w:lvl w:ilvl="6" w:tplc="08090001" w:tentative="1">
      <w:start w:val="1"/>
      <w:numFmt w:val="bullet"/>
      <w:lvlText w:val=""/>
      <w:lvlJc w:val="left"/>
      <w:pPr>
        <w:ind w:left="5671" w:hanging="360"/>
      </w:pPr>
      <w:rPr>
        <w:rFonts w:ascii="Symbol" w:hAnsi="Symbol" w:cs="Symbol" w:hint="default"/>
      </w:rPr>
    </w:lvl>
    <w:lvl w:ilvl="7" w:tplc="08090003" w:tentative="1">
      <w:start w:val="1"/>
      <w:numFmt w:val="bullet"/>
      <w:lvlText w:val="o"/>
      <w:lvlJc w:val="left"/>
      <w:pPr>
        <w:ind w:left="6391" w:hanging="360"/>
      </w:pPr>
      <w:rPr>
        <w:rFonts w:ascii="Courier New" w:hAnsi="Courier New" w:cs="Courier New" w:hint="default"/>
      </w:rPr>
    </w:lvl>
    <w:lvl w:ilvl="8" w:tplc="08090005" w:tentative="1">
      <w:start w:val="1"/>
      <w:numFmt w:val="bullet"/>
      <w:lvlText w:val=""/>
      <w:lvlJc w:val="left"/>
      <w:pPr>
        <w:ind w:left="7111" w:hanging="360"/>
      </w:pPr>
      <w:rPr>
        <w:rFonts w:ascii="Wingdings" w:hAnsi="Wingdings" w:cs="Wingdings" w:hint="default"/>
      </w:rPr>
    </w:lvl>
  </w:abstractNum>
  <w:abstractNum w:abstractNumId="12" w15:restartNumberingAfterBreak="0">
    <w:nsid w:val="60206C3F"/>
    <w:multiLevelType w:val="hybridMultilevel"/>
    <w:tmpl w:val="C3BCABC0"/>
    <w:lvl w:ilvl="0" w:tplc="08090001">
      <w:start w:val="1"/>
      <w:numFmt w:val="bullet"/>
      <w:lvlText w:val=""/>
      <w:lvlJc w:val="left"/>
      <w:pPr>
        <w:ind w:left="1287" w:hanging="360"/>
      </w:pPr>
      <w:rPr>
        <w:rFonts w:ascii="Symbol" w:hAnsi="Symbol" w:cs="Symbol" w:hint="default"/>
      </w:rPr>
    </w:lvl>
    <w:lvl w:ilvl="1" w:tplc="7E8AFA88">
      <w:start w:val="1"/>
      <w:numFmt w:val="bullet"/>
      <w:lvlText w:val="–"/>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13"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3"/>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8"/>
  </w:num>
  <w:num w:numId="21">
    <w:abstractNumId w:val="5"/>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4wL1dViImoA3QbnOBKMXY9lrrZGCGonxhRoL1kM26M8MiqeixSwvR66Nl4BMt3s8iEY17mcE3I5wbe4ce921RQ==" w:salt="uxIu325vLhnZybMe30Gtug=="/>
  <w:defaultTabStop w:val="567"/>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D9539D"/>
    <w:rsid w:val="00001891"/>
    <w:rsid w:val="000024D5"/>
    <w:rsid w:val="00004107"/>
    <w:rsid w:val="000045D7"/>
    <w:rsid w:val="000064A6"/>
    <w:rsid w:val="00010CFC"/>
    <w:rsid w:val="0001113F"/>
    <w:rsid w:val="00012863"/>
    <w:rsid w:val="00014570"/>
    <w:rsid w:val="00015232"/>
    <w:rsid w:val="00017B78"/>
    <w:rsid w:val="000204FB"/>
    <w:rsid w:val="00023281"/>
    <w:rsid w:val="000233A0"/>
    <w:rsid w:val="00024750"/>
    <w:rsid w:val="00024960"/>
    <w:rsid w:val="00025B20"/>
    <w:rsid w:val="00027F01"/>
    <w:rsid w:val="0003077F"/>
    <w:rsid w:val="00032A74"/>
    <w:rsid w:val="0003781E"/>
    <w:rsid w:val="00040CEF"/>
    <w:rsid w:val="00043808"/>
    <w:rsid w:val="00043D81"/>
    <w:rsid w:val="00044FFB"/>
    <w:rsid w:val="000459D5"/>
    <w:rsid w:val="000541E3"/>
    <w:rsid w:val="00057004"/>
    <w:rsid w:val="00060886"/>
    <w:rsid w:val="00061068"/>
    <w:rsid w:val="00061FEB"/>
    <w:rsid w:val="00062780"/>
    <w:rsid w:val="00063C31"/>
    <w:rsid w:val="00064B1A"/>
    <w:rsid w:val="0006616D"/>
    <w:rsid w:val="000673AB"/>
    <w:rsid w:val="00071C8C"/>
    <w:rsid w:val="000721CE"/>
    <w:rsid w:val="00072E78"/>
    <w:rsid w:val="0007489E"/>
    <w:rsid w:val="0007632A"/>
    <w:rsid w:val="00080280"/>
    <w:rsid w:val="00081434"/>
    <w:rsid w:val="00081BBB"/>
    <w:rsid w:val="0008236A"/>
    <w:rsid w:val="000854CC"/>
    <w:rsid w:val="00090F12"/>
    <w:rsid w:val="00093B70"/>
    <w:rsid w:val="000945F9"/>
    <w:rsid w:val="00094A20"/>
    <w:rsid w:val="00095AFA"/>
    <w:rsid w:val="00096193"/>
    <w:rsid w:val="00096E1A"/>
    <w:rsid w:val="000A5396"/>
    <w:rsid w:val="000A7BA6"/>
    <w:rsid w:val="000B0752"/>
    <w:rsid w:val="000B1506"/>
    <w:rsid w:val="000B1611"/>
    <w:rsid w:val="000B4880"/>
    <w:rsid w:val="000B54A7"/>
    <w:rsid w:val="000B7403"/>
    <w:rsid w:val="000C00AE"/>
    <w:rsid w:val="000C301B"/>
    <w:rsid w:val="000C590B"/>
    <w:rsid w:val="000C6798"/>
    <w:rsid w:val="000C73EC"/>
    <w:rsid w:val="000D2F11"/>
    <w:rsid w:val="000D46C9"/>
    <w:rsid w:val="000D60EC"/>
    <w:rsid w:val="000E4EE7"/>
    <w:rsid w:val="000E77AB"/>
    <w:rsid w:val="000F0C86"/>
    <w:rsid w:val="000F3967"/>
    <w:rsid w:val="000F4E28"/>
    <w:rsid w:val="000F684D"/>
    <w:rsid w:val="000F6A0A"/>
    <w:rsid w:val="000F7E52"/>
    <w:rsid w:val="00101785"/>
    <w:rsid w:val="001019D1"/>
    <w:rsid w:val="00102881"/>
    <w:rsid w:val="00102D86"/>
    <w:rsid w:val="0010564C"/>
    <w:rsid w:val="00105AF6"/>
    <w:rsid w:val="00105BD8"/>
    <w:rsid w:val="001071D3"/>
    <w:rsid w:val="00114F63"/>
    <w:rsid w:val="00115499"/>
    <w:rsid w:val="0012054C"/>
    <w:rsid w:val="00124571"/>
    <w:rsid w:val="001248A6"/>
    <w:rsid w:val="00124C1E"/>
    <w:rsid w:val="00124D25"/>
    <w:rsid w:val="001265D9"/>
    <w:rsid w:val="0013054C"/>
    <w:rsid w:val="00132D95"/>
    <w:rsid w:val="0013456C"/>
    <w:rsid w:val="0013536B"/>
    <w:rsid w:val="001359A3"/>
    <w:rsid w:val="00137960"/>
    <w:rsid w:val="001439B5"/>
    <w:rsid w:val="00144568"/>
    <w:rsid w:val="00146646"/>
    <w:rsid w:val="001503B6"/>
    <w:rsid w:val="00150D51"/>
    <w:rsid w:val="00152541"/>
    <w:rsid w:val="0015601E"/>
    <w:rsid w:val="001567AE"/>
    <w:rsid w:val="00156F5D"/>
    <w:rsid w:val="001579D6"/>
    <w:rsid w:val="0016093F"/>
    <w:rsid w:val="00161BE1"/>
    <w:rsid w:val="001629C8"/>
    <w:rsid w:val="001632FD"/>
    <w:rsid w:val="00163377"/>
    <w:rsid w:val="00165022"/>
    <w:rsid w:val="001657C9"/>
    <w:rsid w:val="00166C7F"/>
    <w:rsid w:val="00167262"/>
    <w:rsid w:val="00167876"/>
    <w:rsid w:val="00167A54"/>
    <w:rsid w:val="001703FD"/>
    <w:rsid w:val="001708C4"/>
    <w:rsid w:val="00171886"/>
    <w:rsid w:val="00171CEB"/>
    <w:rsid w:val="00175AFA"/>
    <w:rsid w:val="0017711C"/>
    <w:rsid w:val="0018065B"/>
    <w:rsid w:val="00181154"/>
    <w:rsid w:val="0018330C"/>
    <w:rsid w:val="00186621"/>
    <w:rsid w:val="001878E5"/>
    <w:rsid w:val="00190400"/>
    <w:rsid w:val="00190B46"/>
    <w:rsid w:val="0019198E"/>
    <w:rsid w:val="0019779C"/>
    <w:rsid w:val="001A375F"/>
    <w:rsid w:val="001A3AD6"/>
    <w:rsid w:val="001A74C7"/>
    <w:rsid w:val="001A7A7E"/>
    <w:rsid w:val="001B09C9"/>
    <w:rsid w:val="001B2A48"/>
    <w:rsid w:val="001B3990"/>
    <w:rsid w:val="001B7178"/>
    <w:rsid w:val="001C05EE"/>
    <w:rsid w:val="001C121A"/>
    <w:rsid w:val="001C1942"/>
    <w:rsid w:val="001C1BE4"/>
    <w:rsid w:val="001C1F9A"/>
    <w:rsid w:val="001C2120"/>
    <w:rsid w:val="001C4FA3"/>
    <w:rsid w:val="001C510D"/>
    <w:rsid w:val="001C63EA"/>
    <w:rsid w:val="001C7C3E"/>
    <w:rsid w:val="001D41BE"/>
    <w:rsid w:val="001D493B"/>
    <w:rsid w:val="001D56D1"/>
    <w:rsid w:val="001D59B4"/>
    <w:rsid w:val="001D5A24"/>
    <w:rsid w:val="001D63A4"/>
    <w:rsid w:val="001D7D5C"/>
    <w:rsid w:val="001E0272"/>
    <w:rsid w:val="001E3480"/>
    <w:rsid w:val="001E49C7"/>
    <w:rsid w:val="001E5F96"/>
    <w:rsid w:val="001E6831"/>
    <w:rsid w:val="001E6845"/>
    <w:rsid w:val="001E6995"/>
    <w:rsid w:val="001F25CA"/>
    <w:rsid w:val="001F2D3D"/>
    <w:rsid w:val="001F5141"/>
    <w:rsid w:val="001F5A5E"/>
    <w:rsid w:val="0020563A"/>
    <w:rsid w:val="002066DD"/>
    <w:rsid w:val="00207534"/>
    <w:rsid w:val="00207A87"/>
    <w:rsid w:val="00207B38"/>
    <w:rsid w:val="002160A4"/>
    <w:rsid w:val="0022430B"/>
    <w:rsid w:val="002245ED"/>
    <w:rsid w:val="00224CA1"/>
    <w:rsid w:val="002267F9"/>
    <w:rsid w:val="00231041"/>
    <w:rsid w:val="002321D5"/>
    <w:rsid w:val="00233ADE"/>
    <w:rsid w:val="00233B64"/>
    <w:rsid w:val="0023472F"/>
    <w:rsid w:val="00235CC2"/>
    <w:rsid w:val="00236734"/>
    <w:rsid w:val="002373F2"/>
    <w:rsid w:val="0024588F"/>
    <w:rsid w:val="002459C5"/>
    <w:rsid w:val="0024725F"/>
    <w:rsid w:val="00253195"/>
    <w:rsid w:val="00253D6C"/>
    <w:rsid w:val="002563BE"/>
    <w:rsid w:val="002579ED"/>
    <w:rsid w:val="00260615"/>
    <w:rsid w:val="00261218"/>
    <w:rsid w:val="00262518"/>
    <w:rsid w:val="00263FCE"/>
    <w:rsid w:val="00271285"/>
    <w:rsid w:val="00272B19"/>
    <w:rsid w:val="002766BC"/>
    <w:rsid w:val="0028144B"/>
    <w:rsid w:val="0028223D"/>
    <w:rsid w:val="0028244B"/>
    <w:rsid w:val="002845A1"/>
    <w:rsid w:val="002846BE"/>
    <w:rsid w:val="00290044"/>
    <w:rsid w:val="00290206"/>
    <w:rsid w:val="00290F9B"/>
    <w:rsid w:val="0029100A"/>
    <w:rsid w:val="002915CB"/>
    <w:rsid w:val="00293A03"/>
    <w:rsid w:val="00295B54"/>
    <w:rsid w:val="002A0E62"/>
    <w:rsid w:val="002A2D3C"/>
    <w:rsid w:val="002A47E1"/>
    <w:rsid w:val="002A4BEC"/>
    <w:rsid w:val="002A52E0"/>
    <w:rsid w:val="002A5FD2"/>
    <w:rsid w:val="002A657A"/>
    <w:rsid w:val="002A688F"/>
    <w:rsid w:val="002B4759"/>
    <w:rsid w:val="002B4E19"/>
    <w:rsid w:val="002B5554"/>
    <w:rsid w:val="002B69F9"/>
    <w:rsid w:val="002B7051"/>
    <w:rsid w:val="002C166D"/>
    <w:rsid w:val="002C5E6A"/>
    <w:rsid w:val="002C6AC1"/>
    <w:rsid w:val="002D0206"/>
    <w:rsid w:val="002D05B6"/>
    <w:rsid w:val="002D106A"/>
    <w:rsid w:val="002D266D"/>
    <w:rsid w:val="002D30A3"/>
    <w:rsid w:val="002D333D"/>
    <w:rsid w:val="002D7383"/>
    <w:rsid w:val="002E0884"/>
    <w:rsid w:val="002E4FC5"/>
    <w:rsid w:val="002E55BA"/>
    <w:rsid w:val="002E72FF"/>
    <w:rsid w:val="002F0328"/>
    <w:rsid w:val="002F27B5"/>
    <w:rsid w:val="002F63FB"/>
    <w:rsid w:val="003036D5"/>
    <w:rsid w:val="003037FD"/>
    <w:rsid w:val="00307E80"/>
    <w:rsid w:val="003109B0"/>
    <w:rsid w:val="00310E1D"/>
    <w:rsid w:val="003128BF"/>
    <w:rsid w:val="00312D8A"/>
    <w:rsid w:val="0031301B"/>
    <w:rsid w:val="003142D0"/>
    <w:rsid w:val="00317BE4"/>
    <w:rsid w:val="00317E66"/>
    <w:rsid w:val="003201E5"/>
    <w:rsid w:val="00320C7C"/>
    <w:rsid w:val="0032102D"/>
    <w:rsid w:val="00321EE6"/>
    <w:rsid w:val="0032215F"/>
    <w:rsid w:val="00322661"/>
    <w:rsid w:val="003245A5"/>
    <w:rsid w:val="00325E8F"/>
    <w:rsid w:val="00325F0B"/>
    <w:rsid w:val="00326727"/>
    <w:rsid w:val="003278AE"/>
    <w:rsid w:val="00330939"/>
    <w:rsid w:val="00332278"/>
    <w:rsid w:val="00332569"/>
    <w:rsid w:val="00333B09"/>
    <w:rsid w:val="00333B25"/>
    <w:rsid w:val="003351D3"/>
    <w:rsid w:val="00335A13"/>
    <w:rsid w:val="0033619D"/>
    <w:rsid w:val="00336BB8"/>
    <w:rsid w:val="00336E2A"/>
    <w:rsid w:val="00340F3D"/>
    <w:rsid w:val="00341437"/>
    <w:rsid w:val="0034213D"/>
    <w:rsid w:val="00344E77"/>
    <w:rsid w:val="003462BC"/>
    <w:rsid w:val="003465A0"/>
    <w:rsid w:val="00350582"/>
    <w:rsid w:val="00352B39"/>
    <w:rsid w:val="003534C5"/>
    <w:rsid w:val="00353514"/>
    <w:rsid w:val="00353D70"/>
    <w:rsid w:val="003546CF"/>
    <w:rsid w:val="00354FD5"/>
    <w:rsid w:val="00355545"/>
    <w:rsid w:val="00355B2E"/>
    <w:rsid w:val="003565AB"/>
    <w:rsid w:val="00360889"/>
    <w:rsid w:val="00361B88"/>
    <w:rsid w:val="00361E5C"/>
    <w:rsid w:val="00361EF0"/>
    <w:rsid w:val="0036276A"/>
    <w:rsid w:val="003628C2"/>
    <w:rsid w:val="003647B2"/>
    <w:rsid w:val="00364A35"/>
    <w:rsid w:val="00364C3B"/>
    <w:rsid w:val="00365E95"/>
    <w:rsid w:val="00366251"/>
    <w:rsid w:val="003674AD"/>
    <w:rsid w:val="00370314"/>
    <w:rsid w:val="003714C0"/>
    <w:rsid w:val="003725DC"/>
    <w:rsid w:val="0037368D"/>
    <w:rsid w:val="00373CFB"/>
    <w:rsid w:val="00375B85"/>
    <w:rsid w:val="00376EB5"/>
    <w:rsid w:val="00380A8D"/>
    <w:rsid w:val="003813E9"/>
    <w:rsid w:val="00381F4D"/>
    <w:rsid w:val="00382F69"/>
    <w:rsid w:val="00385057"/>
    <w:rsid w:val="0038700A"/>
    <w:rsid w:val="00391233"/>
    <w:rsid w:val="003920A7"/>
    <w:rsid w:val="0039229A"/>
    <w:rsid w:val="00392826"/>
    <w:rsid w:val="00395A17"/>
    <w:rsid w:val="003A5B86"/>
    <w:rsid w:val="003A5C70"/>
    <w:rsid w:val="003B11CE"/>
    <w:rsid w:val="003B5048"/>
    <w:rsid w:val="003B5E75"/>
    <w:rsid w:val="003C1557"/>
    <w:rsid w:val="003D00E5"/>
    <w:rsid w:val="003D092E"/>
    <w:rsid w:val="003D0F19"/>
    <w:rsid w:val="003D3635"/>
    <w:rsid w:val="003D3B37"/>
    <w:rsid w:val="003D52CA"/>
    <w:rsid w:val="003D546E"/>
    <w:rsid w:val="003D7278"/>
    <w:rsid w:val="003D7BDD"/>
    <w:rsid w:val="003E11C8"/>
    <w:rsid w:val="003E12B3"/>
    <w:rsid w:val="003E19B3"/>
    <w:rsid w:val="003E289F"/>
    <w:rsid w:val="003E4425"/>
    <w:rsid w:val="003E54EE"/>
    <w:rsid w:val="003E6328"/>
    <w:rsid w:val="003F1845"/>
    <w:rsid w:val="003F2B9D"/>
    <w:rsid w:val="003F3579"/>
    <w:rsid w:val="003F42A1"/>
    <w:rsid w:val="003F52C5"/>
    <w:rsid w:val="003F6BCB"/>
    <w:rsid w:val="003F7AE9"/>
    <w:rsid w:val="004015D9"/>
    <w:rsid w:val="00402232"/>
    <w:rsid w:val="00407F09"/>
    <w:rsid w:val="00414664"/>
    <w:rsid w:val="00415770"/>
    <w:rsid w:val="004163F4"/>
    <w:rsid w:val="00417065"/>
    <w:rsid w:val="004177EA"/>
    <w:rsid w:val="00417CE1"/>
    <w:rsid w:val="00420A17"/>
    <w:rsid w:val="004213BB"/>
    <w:rsid w:val="00423062"/>
    <w:rsid w:val="00423452"/>
    <w:rsid w:val="00426A77"/>
    <w:rsid w:val="00431EAE"/>
    <w:rsid w:val="004348E7"/>
    <w:rsid w:val="00434BAA"/>
    <w:rsid w:val="00436AA0"/>
    <w:rsid w:val="0044281E"/>
    <w:rsid w:val="0044288F"/>
    <w:rsid w:val="00445AAD"/>
    <w:rsid w:val="00446A6A"/>
    <w:rsid w:val="00447B9A"/>
    <w:rsid w:val="0045243B"/>
    <w:rsid w:val="00452D46"/>
    <w:rsid w:val="00452D7E"/>
    <w:rsid w:val="004550E0"/>
    <w:rsid w:val="00460BAE"/>
    <w:rsid w:val="00461678"/>
    <w:rsid w:val="00462CE7"/>
    <w:rsid w:val="00463EBD"/>
    <w:rsid w:val="004664BE"/>
    <w:rsid w:val="00467B86"/>
    <w:rsid w:val="004748C0"/>
    <w:rsid w:val="00477574"/>
    <w:rsid w:val="004776AE"/>
    <w:rsid w:val="0047777E"/>
    <w:rsid w:val="00477A3D"/>
    <w:rsid w:val="004813A2"/>
    <w:rsid w:val="00481A09"/>
    <w:rsid w:val="0048614B"/>
    <w:rsid w:val="0048792C"/>
    <w:rsid w:val="004906BD"/>
    <w:rsid w:val="0049071D"/>
    <w:rsid w:val="004908EE"/>
    <w:rsid w:val="004919B5"/>
    <w:rsid w:val="00494060"/>
    <w:rsid w:val="00495762"/>
    <w:rsid w:val="0049763B"/>
    <w:rsid w:val="004A14EF"/>
    <w:rsid w:val="004A201D"/>
    <w:rsid w:val="004A3146"/>
    <w:rsid w:val="004A357B"/>
    <w:rsid w:val="004A5577"/>
    <w:rsid w:val="004B079F"/>
    <w:rsid w:val="004B1560"/>
    <w:rsid w:val="004B2C87"/>
    <w:rsid w:val="004B3605"/>
    <w:rsid w:val="004B360C"/>
    <w:rsid w:val="004B57EC"/>
    <w:rsid w:val="004B6D44"/>
    <w:rsid w:val="004C1108"/>
    <w:rsid w:val="004C299F"/>
    <w:rsid w:val="004C37EB"/>
    <w:rsid w:val="004C46C4"/>
    <w:rsid w:val="004C48BF"/>
    <w:rsid w:val="004C5E94"/>
    <w:rsid w:val="004C6E79"/>
    <w:rsid w:val="004D0391"/>
    <w:rsid w:val="004D2122"/>
    <w:rsid w:val="004D3EBE"/>
    <w:rsid w:val="004D566F"/>
    <w:rsid w:val="004D665E"/>
    <w:rsid w:val="004E017A"/>
    <w:rsid w:val="004E2B3B"/>
    <w:rsid w:val="004E38AE"/>
    <w:rsid w:val="004E4E2E"/>
    <w:rsid w:val="004E7927"/>
    <w:rsid w:val="004F127D"/>
    <w:rsid w:val="004F1EF7"/>
    <w:rsid w:val="004F3392"/>
    <w:rsid w:val="004F4846"/>
    <w:rsid w:val="004F51CD"/>
    <w:rsid w:val="004F54C1"/>
    <w:rsid w:val="004F5D1D"/>
    <w:rsid w:val="004F67C7"/>
    <w:rsid w:val="00504F50"/>
    <w:rsid w:val="0050753F"/>
    <w:rsid w:val="00507771"/>
    <w:rsid w:val="00507EB3"/>
    <w:rsid w:val="00510802"/>
    <w:rsid w:val="00511A06"/>
    <w:rsid w:val="005135D4"/>
    <w:rsid w:val="005172C7"/>
    <w:rsid w:val="005220EC"/>
    <w:rsid w:val="00524981"/>
    <w:rsid w:val="00525F98"/>
    <w:rsid w:val="00527548"/>
    <w:rsid w:val="00527961"/>
    <w:rsid w:val="00531891"/>
    <w:rsid w:val="00533A4F"/>
    <w:rsid w:val="005358E7"/>
    <w:rsid w:val="00536B72"/>
    <w:rsid w:val="00537AA8"/>
    <w:rsid w:val="0054088B"/>
    <w:rsid w:val="00541AC0"/>
    <w:rsid w:val="00541FB1"/>
    <w:rsid w:val="00542F7F"/>
    <w:rsid w:val="00543A7C"/>
    <w:rsid w:val="00547AFA"/>
    <w:rsid w:val="005513A5"/>
    <w:rsid w:val="005527B8"/>
    <w:rsid w:val="005543BC"/>
    <w:rsid w:val="005563B2"/>
    <w:rsid w:val="00557132"/>
    <w:rsid w:val="00557F56"/>
    <w:rsid w:val="005611CF"/>
    <w:rsid w:val="005630DD"/>
    <w:rsid w:val="00564A7C"/>
    <w:rsid w:val="00564F68"/>
    <w:rsid w:val="0056759F"/>
    <w:rsid w:val="00572943"/>
    <w:rsid w:val="00576243"/>
    <w:rsid w:val="00576261"/>
    <w:rsid w:val="00576AA3"/>
    <w:rsid w:val="0058084D"/>
    <w:rsid w:val="00584CF9"/>
    <w:rsid w:val="005854D5"/>
    <w:rsid w:val="005856B1"/>
    <w:rsid w:val="00585B3F"/>
    <w:rsid w:val="00586203"/>
    <w:rsid w:val="005879C6"/>
    <w:rsid w:val="00590549"/>
    <w:rsid w:val="005912F8"/>
    <w:rsid w:val="0059145F"/>
    <w:rsid w:val="00592150"/>
    <w:rsid w:val="00592DDA"/>
    <w:rsid w:val="00594B3F"/>
    <w:rsid w:val="005954E3"/>
    <w:rsid w:val="005A0D9F"/>
    <w:rsid w:val="005A1E09"/>
    <w:rsid w:val="005A39C9"/>
    <w:rsid w:val="005A563C"/>
    <w:rsid w:val="005A656F"/>
    <w:rsid w:val="005A7B37"/>
    <w:rsid w:val="005B26B2"/>
    <w:rsid w:val="005B3BF3"/>
    <w:rsid w:val="005B3D5D"/>
    <w:rsid w:val="005B753C"/>
    <w:rsid w:val="005B7AEE"/>
    <w:rsid w:val="005B7CD0"/>
    <w:rsid w:val="005C0AA3"/>
    <w:rsid w:val="005C2D10"/>
    <w:rsid w:val="005C44D5"/>
    <w:rsid w:val="005C4586"/>
    <w:rsid w:val="005C5444"/>
    <w:rsid w:val="005C6A70"/>
    <w:rsid w:val="005C7AA0"/>
    <w:rsid w:val="005D408F"/>
    <w:rsid w:val="005D42C8"/>
    <w:rsid w:val="005D68A7"/>
    <w:rsid w:val="005D6C47"/>
    <w:rsid w:val="005D7626"/>
    <w:rsid w:val="005D77CE"/>
    <w:rsid w:val="005E0C3D"/>
    <w:rsid w:val="005E0EE3"/>
    <w:rsid w:val="005E12C2"/>
    <w:rsid w:val="005E1511"/>
    <w:rsid w:val="005E2D20"/>
    <w:rsid w:val="005E381F"/>
    <w:rsid w:val="005E4824"/>
    <w:rsid w:val="005E6107"/>
    <w:rsid w:val="005E684E"/>
    <w:rsid w:val="005E6A9E"/>
    <w:rsid w:val="005E6C7E"/>
    <w:rsid w:val="005E6F1F"/>
    <w:rsid w:val="005E779A"/>
    <w:rsid w:val="005E7D35"/>
    <w:rsid w:val="005F0CCE"/>
    <w:rsid w:val="005F12BD"/>
    <w:rsid w:val="005F1387"/>
    <w:rsid w:val="005F1CD6"/>
    <w:rsid w:val="005F299F"/>
    <w:rsid w:val="005F2D40"/>
    <w:rsid w:val="005F3135"/>
    <w:rsid w:val="005F334D"/>
    <w:rsid w:val="005F3D83"/>
    <w:rsid w:val="005F4748"/>
    <w:rsid w:val="005F6A62"/>
    <w:rsid w:val="005F6FDD"/>
    <w:rsid w:val="006017AB"/>
    <w:rsid w:val="006024EC"/>
    <w:rsid w:val="00604881"/>
    <w:rsid w:val="0060556D"/>
    <w:rsid w:val="00606237"/>
    <w:rsid w:val="00606FDE"/>
    <w:rsid w:val="006070FE"/>
    <w:rsid w:val="00611C06"/>
    <w:rsid w:val="00611EC7"/>
    <w:rsid w:val="0061684A"/>
    <w:rsid w:val="00620811"/>
    <w:rsid w:val="00620D3A"/>
    <w:rsid w:val="00622236"/>
    <w:rsid w:val="00622A67"/>
    <w:rsid w:val="00623292"/>
    <w:rsid w:val="00623799"/>
    <w:rsid w:val="00624F7A"/>
    <w:rsid w:val="00625023"/>
    <w:rsid w:val="00625864"/>
    <w:rsid w:val="00625EA3"/>
    <w:rsid w:val="006267D0"/>
    <w:rsid w:val="00630C24"/>
    <w:rsid w:val="006319BE"/>
    <w:rsid w:val="0063256C"/>
    <w:rsid w:val="00634FE0"/>
    <w:rsid w:val="00636583"/>
    <w:rsid w:val="00640285"/>
    <w:rsid w:val="00640399"/>
    <w:rsid w:val="0064361D"/>
    <w:rsid w:val="006438FD"/>
    <w:rsid w:val="0064596A"/>
    <w:rsid w:val="006477ED"/>
    <w:rsid w:val="00647955"/>
    <w:rsid w:val="00647F43"/>
    <w:rsid w:val="0065338E"/>
    <w:rsid w:val="00653A33"/>
    <w:rsid w:val="00653F1F"/>
    <w:rsid w:val="00653FC8"/>
    <w:rsid w:val="00655278"/>
    <w:rsid w:val="00656B9D"/>
    <w:rsid w:val="00660B68"/>
    <w:rsid w:val="00661106"/>
    <w:rsid w:val="0066283B"/>
    <w:rsid w:val="006643A9"/>
    <w:rsid w:val="006654A9"/>
    <w:rsid w:val="00665661"/>
    <w:rsid w:val="00671127"/>
    <w:rsid w:val="00671422"/>
    <w:rsid w:val="00673527"/>
    <w:rsid w:val="006748F8"/>
    <w:rsid w:val="00674CBD"/>
    <w:rsid w:val="006758BF"/>
    <w:rsid w:val="00675DA8"/>
    <w:rsid w:val="00680AFF"/>
    <w:rsid w:val="00682B17"/>
    <w:rsid w:val="00682C14"/>
    <w:rsid w:val="00684058"/>
    <w:rsid w:val="00685724"/>
    <w:rsid w:val="006869B4"/>
    <w:rsid w:val="00686C95"/>
    <w:rsid w:val="0069177A"/>
    <w:rsid w:val="006946EC"/>
    <w:rsid w:val="00695282"/>
    <w:rsid w:val="00697776"/>
    <w:rsid w:val="006A3746"/>
    <w:rsid w:val="006A4E6E"/>
    <w:rsid w:val="006A5417"/>
    <w:rsid w:val="006A7A49"/>
    <w:rsid w:val="006B2253"/>
    <w:rsid w:val="006B26DF"/>
    <w:rsid w:val="006C0208"/>
    <w:rsid w:val="006C042E"/>
    <w:rsid w:val="006C4557"/>
    <w:rsid w:val="006C5165"/>
    <w:rsid w:val="006C5B7D"/>
    <w:rsid w:val="006C6823"/>
    <w:rsid w:val="006C6B33"/>
    <w:rsid w:val="006C7549"/>
    <w:rsid w:val="006D2072"/>
    <w:rsid w:val="006D2486"/>
    <w:rsid w:val="006D4152"/>
    <w:rsid w:val="006E0F43"/>
    <w:rsid w:val="006E4C0B"/>
    <w:rsid w:val="006E4C5C"/>
    <w:rsid w:val="006E598E"/>
    <w:rsid w:val="006E7914"/>
    <w:rsid w:val="006F091D"/>
    <w:rsid w:val="006F2A42"/>
    <w:rsid w:val="006F36A1"/>
    <w:rsid w:val="00700C9A"/>
    <w:rsid w:val="00702106"/>
    <w:rsid w:val="00702343"/>
    <w:rsid w:val="0070505F"/>
    <w:rsid w:val="00705098"/>
    <w:rsid w:val="007107D6"/>
    <w:rsid w:val="00710E08"/>
    <w:rsid w:val="007113DE"/>
    <w:rsid w:val="0071311C"/>
    <w:rsid w:val="00715226"/>
    <w:rsid w:val="00721C3E"/>
    <w:rsid w:val="0072351F"/>
    <w:rsid w:val="00724081"/>
    <w:rsid w:val="00725F33"/>
    <w:rsid w:val="00726365"/>
    <w:rsid w:val="00727506"/>
    <w:rsid w:val="007301D6"/>
    <w:rsid w:val="00731464"/>
    <w:rsid w:val="0073265E"/>
    <w:rsid w:val="00737F29"/>
    <w:rsid w:val="00740E1B"/>
    <w:rsid w:val="00742F81"/>
    <w:rsid w:val="00743EFE"/>
    <w:rsid w:val="00744812"/>
    <w:rsid w:val="00753F29"/>
    <w:rsid w:val="00754FDD"/>
    <w:rsid w:val="0075568C"/>
    <w:rsid w:val="0075590E"/>
    <w:rsid w:val="00755959"/>
    <w:rsid w:val="00760559"/>
    <w:rsid w:val="00760563"/>
    <w:rsid w:val="00760D89"/>
    <w:rsid w:val="00761E9A"/>
    <w:rsid w:val="007623E3"/>
    <w:rsid w:val="00763454"/>
    <w:rsid w:val="00763504"/>
    <w:rsid w:val="007647BC"/>
    <w:rsid w:val="00764EDD"/>
    <w:rsid w:val="00767A17"/>
    <w:rsid w:val="00771620"/>
    <w:rsid w:val="007723B3"/>
    <w:rsid w:val="007726CC"/>
    <w:rsid w:val="00772CBB"/>
    <w:rsid w:val="00774C5D"/>
    <w:rsid w:val="00775318"/>
    <w:rsid w:val="00775EEA"/>
    <w:rsid w:val="00776411"/>
    <w:rsid w:val="0077687C"/>
    <w:rsid w:val="00776999"/>
    <w:rsid w:val="00777F70"/>
    <w:rsid w:val="00780572"/>
    <w:rsid w:val="00780A7C"/>
    <w:rsid w:val="00781E7C"/>
    <w:rsid w:val="007823E1"/>
    <w:rsid w:val="00783341"/>
    <w:rsid w:val="00787012"/>
    <w:rsid w:val="00791C2E"/>
    <w:rsid w:val="00793B2C"/>
    <w:rsid w:val="00794151"/>
    <w:rsid w:val="00794E6D"/>
    <w:rsid w:val="007958FC"/>
    <w:rsid w:val="0079593A"/>
    <w:rsid w:val="00796305"/>
    <w:rsid w:val="00796D51"/>
    <w:rsid w:val="007A33F1"/>
    <w:rsid w:val="007A3A2A"/>
    <w:rsid w:val="007A400F"/>
    <w:rsid w:val="007A40CB"/>
    <w:rsid w:val="007A5D16"/>
    <w:rsid w:val="007A71F4"/>
    <w:rsid w:val="007A7D74"/>
    <w:rsid w:val="007B2B11"/>
    <w:rsid w:val="007B3079"/>
    <w:rsid w:val="007C2C5C"/>
    <w:rsid w:val="007C3C29"/>
    <w:rsid w:val="007C46FF"/>
    <w:rsid w:val="007C4B7E"/>
    <w:rsid w:val="007D3759"/>
    <w:rsid w:val="007D487A"/>
    <w:rsid w:val="007D50B4"/>
    <w:rsid w:val="007D5E84"/>
    <w:rsid w:val="007D673E"/>
    <w:rsid w:val="007E3529"/>
    <w:rsid w:val="007E61A6"/>
    <w:rsid w:val="007F364A"/>
    <w:rsid w:val="007F426C"/>
    <w:rsid w:val="007F46A1"/>
    <w:rsid w:val="007F5C55"/>
    <w:rsid w:val="007F601B"/>
    <w:rsid w:val="007F6671"/>
    <w:rsid w:val="007F77A1"/>
    <w:rsid w:val="007F7FBE"/>
    <w:rsid w:val="00802ABE"/>
    <w:rsid w:val="008057DF"/>
    <w:rsid w:val="0080697B"/>
    <w:rsid w:val="00807000"/>
    <w:rsid w:val="008077AF"/>
    <w:rsid w:val="00807E21"/>
    <w:rsid w:val="008128BB"/>
    <w:rsid w:val="00812BED"/>
    <w:rsid w:val="00812EEA"/>
    <w:rsid w:val="00814257"/>
    <w:rsid w:val="00814C35"/>
    <w:rsid w:val="00816505"/>
    <w:rsid w:val="008173D6"/>
    <w:rsid w:val="008220CF"/>
    <w:rsid w:val="00823F9B"/>
    <w:rsid w:val="00825B07"/>
    <w:rsid w:val="008265B7"/>
    <w:rsid w:val="00830459"/>
    <w:rsid w:val="00830466"/>
    <w:rsid w:val="00834239"/>
    <w:rsid w:val="008414FE"/>
    <w:rsid w:val="0084207A"/>
    <w:rsid w:val="00842B4B"/>
    <w:rsid w:val="0084488B"/>
    <w:rsid w:val="0084497D"/>
    <w:rsid w:val="008452C0"/>
    <w:rsid w:val="008459D1"/>
    <w:rsid w:val="00847C73"/>
    <w:rsid w:val="00854BD5"/>
    <w:rsid w:val="008602F8"/>
    <w:rsid w:val="00862D78"/>
    <w:rsid w:val="0086521A"/>
    <w:rsid w:val="00865BF9"/>
    <w:rsid w:val="00872F50"/>
    <w:rsid w:val="00873287"/>
    <w:rsid w:val="00874D6C"/>
    <w:rsid w:val="00877C62"/>
    <w:rsid w:val="00877CD9"/>
    <w:rsid w:val="00877FE0"/>
    <w:rsid w:val="008834AC"/>
    <w:rsid w:val="00884860"/>
    <w:rsid w:val="008849FD"/>
    <w:rsid w:val="008945B5"/>
    <w:rsid w:val="0089643E"/>
    <w:rsid w:val="008964CF"/>
    <w:rsid w:val="00896F90"/>
    <w:rsid w:val="008A0365"/>
    <w:rsid w:val="008A11A2"/>
    <w:rsid w:val="008A247D"/>
    <w:rsid w:val="008A26C6"/>
    <w:rsid w:val="008A283A"/>
    <w:rsid w:val="008A28A4"/>
    <w:rsid w:val="008A3489"/>
    <w:rsid w:val="008A424C"/>
    <w:rsid w:val="008A46EC"/>
    <w:rsid w:val="008A5793"/>
    <w:rsid w:val="008A6CDF"/>
    <w:rsid w:val="008B0088"/>
    <w:rsid w:val="008B0F55"/>
    <w:rsid w:val="008B38A4"/>
    <w:rsid w:val="008B4936"/>
    <w:rsid w:val="008B6492"/>
    <w:rsid w:val="008B6EE0"/>
    <w:rsid w:val="008B7EB8"/>
    <w:rsid w:val="008C1674"/>
    <w:rsid w:val="008C3512"/>
    <w:rsid w:val="008C44D8"/>
    <w:rsid w:val="008C4C28"/>
    <w:rsid w:val="008C629F"/>
    <w:rsid w:val="008D088D"/>
    <w:rsid w:val="008D189D"/>
    <w:rsid w:val="008D1CB7"/>
    <w:rsid w:val="008D3CAB"/>
    <w:rsid w:val="008D55E7"/>
    <w:rsid w:val="008E399E"/>
    <w:rsid w:val="008E65DA"/>
    <w:rsid w:val="008E7CC7"/>
    <w:rsid w:val="008F616B"/>
    <w:rsid w:val="008F665A"/>
    <w:rsid w:val="009009A1"/>
    <w:rsid w:val="00900A10"/>
    <w:rsid w:val="0090172D"/>
    <w:rsid w:val="0090324B"/>
    <w:rsid w:val="0090649F"/>
    <w:rsid w:val="00906A6C"/>
    <w:rsid w:val="009070E7"/>
    <w:rsid w:val="00911920"/>
    <w:rsid w:val="00912BB0"/>
    <w:rsid w:val="009131F9"/>
    <w:rsid w:val="00924205"/>
    <w:rsid w:val="00924C05"/>
    <w:rsid w:val="0092615C"/>
    <w:rsid w:val="00926A96"/>
    <w:rsid w:val="00926C68"/>
    <w:rsid w:val="00932180"/>
    <w:rsid w:val="00932AF9"/>
    <w:rsid w:val="00933934"/>
    <w:rsid w:val="00934D02"/>
    <w:rsid w:val="009358A8"/>
    <w:rsid w:val="00935965"/>
    <w:rsid w:val="00936880"/>
    <w:rsid w:val="009403D0"/>
    <w:rsid w:val="009409EE"/>
    <w:rsid w:val="00940FBE"/>
    <w:rsid w:val="0094148C"/>
    <w:rsid w:val="0094680D"/>
    <w:rsid w:val="0095285B"/>
    <w:rsid w:val="00953E8A"/>
    <w:rsid w:val="009543EF"/>
    <w:rsid w:val="00955CFA"/>
    <w:rsid w:val="009563AE"/>
    <w:rsid w:val="00956463"/>
    <w:rsid w:val="009606D3"/>
    <w:rsid w:val="00960D53"/>
    <w:rsid w:val="00965780"/>
    <w:rsid w:val="009663A9"/>
    <w:rsid w:val="00970516"/>
    <w:rsid w:val="00977269"/>
    <w:rsid w:val="0097767B"/>
    <w:rsid w:val="009804A9"/>
    <w:rsid w:val="00980AD0"/>
    <w:rsid w:val="00982967"/>
    <w:rsid w:val="00982CBC"/>
    <w:rsid w:val="0098366A"/>
    <w:rsid w:val="009928D4"/>
    <w:rsid w:val="009929CE"/>
    <w:rsid w:val="00993294"/>
    <w:rsid w:val="009939E8"/>
    <w:rsid w:val="00996200"/>
    <w:rsid w:val="0099708B"/>
    <w:rsid w:val="0099730F"/>
    <w:rsid w:val="00997805"/>
    <w:rsid w:val="0099797B"/>
    <w:rsid w:val="00997A97"/>
    <w:rsid w:val="009A24CF"/>
    <w:rsid w:val="009A3B58"/>
    <w:rsid w:val="009A3F0C"/>
    <w:rsid w:val="009B00D5"/>
    <w:rsid w:val="009B0FF9"/>
    <w:rsid w:val="009B1AE5"/>
    <w:rsid w:val="009B2A64"/>
    <w:rsid w:val="009B3DE7"/>
    <w:rsid w:val="009B6BE1"/>
    <w:rsid w:val="009B7C2D"/>
    <w:rsid w:val="009B7E9F"/>
    <w:rsid w:val="009C06C7"/>
    <w:rsid w:val="009C24CC"/>
    <w:rsid w:val="009C2C09"/>
    <w:rsid w:val="009C5106"/>
    <w:rsid w:val="009C590E"/>
    <w:rsid w:val="009C5CF7"/>
    <w:rsid w:val="009C626C"/>
    <w:rsid w:val="009C69C6"/>
    <w:rsid w:val="009D0685"/>
    <w:rsid w:val="009D0AE6"/>
    <w:rsid w:val="009D1F38"/>
    <w:rsid w:val="009D3F00"/>
    <w:rsid w:val="009D4C4B"/>
    <w:rsid w:val="009D658E"/>
    <w:rsid w:val="009D674D"/>
    <w:rsid w:val="009D7F70"/>
    <w:rsid w:val="009E0DF8"/>
    <w:rsid w:val="009E3A07"/>
    <w:rsid w:val="009E666C"/>
    <w:rsid w:val="009E71DB"/>
    <w:rsid w:val="009E7BA2"/>
    <w:rsid w:val="009F0448"/>
    <w:rsid w:val="009F365C"/>
    <w:rsid w:val="009F4C5B"/>
    <w:rsid w:val="009F7017"/>
    <w:rsid w:val="00A01CBB"/>
    <w:rsid w:val="00A039B8"/>
    <w:rsid w:val="00A05196"/>
    <w:rsid w:val="00A05B20"/>
    <w:rsid w:val="00A150D3"/>
    <w:rsid w:val="00A17064"/>
    <w:rsid w:val="00A176A9"/>
    <w:rsid w:val="00A205DC"/>
    <w:rsid w:val="00A22E3B"/>
    <w:rsid w:val="00A24394"/>
    <w:rsid w:val="00A251C4"/>
    <w:rsid w:val="00A25AB7"/>
    <w:rsid w:val="00A27738"/>
    <w:rsid w:val="00A30D6A"/>
    <w:rsid w:val="00A35800"/>
    <w:rsid w:val="00A405BA"/>
    <w:rsid w:val="00A45680"/>
    <w:rsid w:val="00A45EF4"/>
    <w:rsid w:val="00A46AA6"/>
    <w:rsid w:val="00A47CF2"/>
    <w:rsid w:val="00A50BC6"/>
    <w:rsid w:val="00A5114F"/>
    <w:rsid w:val="00A52A69"/>
    <w:rsid w:val="00A53767"/>
    <w:rsid w:val="00A53783"/>
    <w:rsid w:val="00A556A5"/>
    <w:rsid w:val="00A55980"/>
    <w:rsid w:val="00A5790A"/>
    <w:rsid w:val="00A61116"/>
    <w:rsid w:val="00A614C9"/>
    <w:rsid w:val="00A616B6"/>
    <w:rsid w:val="00A638EC"/>
    <w:rsid w:val="00A6516B"/>
    <w:rsid w:val="00A679E5"/>
    <w:rsid w:val="00A7054F"/>
    <w:rsid w:val="00A716FF"/>
    <w:rsid w:val="00A7704E"/>
    <w:rsid w:val="00A77C94"/>
    <w:rsid w:val="00A813DB"/>
    <w:rsid w:val="00A83F11"/>
    <w:rsid w:val="00A84794"/>
    <w:rsid w:val="00A851E1"/>
    <w:rsid w:val="00A85FC7"/>
    <w:rsid w:val="00A86F7E"/>
    <w:rsid w:val="00A87B9B"/>
    <w:rsid w:val="00A9264D"/>
    <w:rsid w:val="00A92EDE"/>
    <w:rsid w:val="00A94DB5"/>
    <w:rsid w:val="00A9664C"/>
    <w:rsid w:val="00AA57B8"/>
    <w:rsid w:val="00AA587E"/>
    <w:rsid w:val="00AA67E0"/>
    <w:rsid w:val="00AA73BA"/>
    <w:rsid w:val="00AA7C06"/>
    <w:rsid w:val="00AB1520"/>
    <w:rsid w:val="00AB29FA"/>
    <w:rsid w:val="00AB2CE9"/>
    <w:rsid w:val="00AB34FA"/>
    <w:rsid w:val="00AB56CA"/>
    <w:rsid w:val="00AB5879"/>
    <w:rsid w:val="00AB5C94"/>
    <w:rsid w:val="00AB706D"/>
    <w:rsid w:val="00AC363F"/>
    <w:rsid w:val="00AC5BD6"/>
    <w:rsid w:val="00AD068E"/>
    <w:rsid w:val="00AD0E43"/>
    <w:rsid w:val="00AD1B0F"/>
    <w:rsid w:val="00AD50D8"/>
    <w:rsid w:val="00AD6CAD"/>
    <w:rsid w:val="00AE06FD"/>
    <w:rsid w:val="00AE0902"/>
    <w:rsid w:val="00AE3B80"/>
    <w:rsid w:val="00AE49D0"/>
    <w:rsid w:val="00AF0C19"/>
    <w:rsid w:val="00AF0C30"/>
    <w:rsid w:val="00AF3C3E"/>
    <w:rsid w:val="00B01DC8"/>
    <w:rsid w:val="00B01DCA"/>
    <w:rsid w:val="00B05EB9"/>
    <w:rsid w:val="00B07C14"/>
    <w:rsid w:val="00B1005C"/>
    <w:rsid w:val="00B12D03"/>
    <w:rsid w:val="00B134F7"/>
    <w:rsid w:val="00B13B8F"/>
    <w:rsid w:val="00B148BA"/>
    <w:rsid w:val="00B151F2"/>
    <w:rsid w:val="00B160AF"/>
    <w:rsid w:val="00B2207C"/>
    <w:rsid w:val="00B232F5"/>
    <w:rsid w:val="00B24B9B"/>
    <w:rsid w:val="00B30768"/>
    <w:rsid w:val="00B30FB4"/>
    <w:rsid w:val="00B311CC"/>
    <w:rsid w:val="00B32AC3"/>
    <w:rsid w:val="00B33748"/>
    <w:rsid w:val="00B355D6"/>
    <w:rsid w:val="00B36ACB"/>
    <w:rsid w:val="00B3707A"/>
    <w:rsid w:val="00B371E4"/>
    <w:rsid w:val="00B40045"/>
    <w:rsid w:val="00B40F17"/>
    <w:rsid w:val="00B412AC"/>
    <w:rsid w:val="00B43CEA"/>
    <w:rsid w:val="00B4720E"/>
    <w:rsid w:val="00B503A6"/>
    <w:rsid w:val="00B52599"/>
    <w:rsid w:val="00B5486B"/>
    <w:rsid w:val="00B55196"/>
    <w:rsid w:val="00B56D71"/>
    <w:rsid w:val="00B60688"/>
    <w:rsid w:val="00B64A74"/>
    <w:rsid w:val="00B659F0"/>
    <w:rsid w:val="00B65D80"/>
    <w:rsid w:val="00B66A18"/>
    <w:rsid w:val="00B7043A"/>
    <w:rsid w:val="00B7101D"/>
    <w:rsid w:val="00B72B0C"/>
    <w:rsid w:val="00B72D7D"/>
    <w:rsid w:val="00B731E7"/>
    <w:rsid w:val="00B758DA"/>
    <w:rsid w:val="00B7695F"/>
    <w:rsid w:val="00B81DCD"/>
    <w:rsid w:val="00B82EE5"/>
    <w:rsid w:val="00B83566"/>
    <w:rsid w:val="00B83688"/>
    <w:rsid w:val="00B84998"/>
    <w:rsid w:val="00B876A2"/>
    <w:rsid w:val="00B87FB8"/>
    <w:rsid w:val="00B90B2C"/>
    <w:rsid w:val="00B91E6F"/>
    <w:rsid w:val="00B97458"/>
    <w:rsid w:val="00B97ABF"/>
    <w:rsid w:val="00BA1951"/>
    <w:rsid w:val="00BA3F05"/>
    <w:rsid w:val="00BA56AC"/>
    <w:rsid w:val="00BA618F"/>
    <w:rsid w:val="00BA6474"/>
    <w:rsid w:val="00BA7C14"/>
    <w:rsid w:val="00BB0355"/>
    <w:rsid w:val="00BB0A3A"/>
    <w:rsid w:val="00BB2442"/>
    <w:rsid w:val="00BB3B16"/>
    <w:rsid w:val="00BB7851"/>
    <w:rsid w:val="00BC04E0"/>
    <w:rsid w:val="00BC0926"/>
    <w:rsid w:val="00BC1240"/>
    <w:rsid w:val="00BC219D"/>
    <w:rsid w:val="00BC23C9"/>
    <w:rsid w:val="00BC425F"/>
    <w:rsid w:val="00BC75E6"/>
    <w:rsid w:val="00BC7F04"/>
    <w:rsid w:val="00BD2168"/>
    <w:rsid w:val="00BD414A"/>
    <w:rsid w:val="00BD5402"/>
    <w:rsid w:val="00BD6456"/>
    <w:rsid w:val="00BD69C7"/>
    <w:rsid w:val="00BE0A92"/>
    <w:rsid w:val="00BE1CAE"/>
    <w:rsid w:val="00BE1D82"/>
    <w:rsid w:val="00BE1F17"/>
    <w:rsid w:val="00BE3D93"/>
    <w:rsid w:val="00BE520A"/>
    <w:rsid w:val="00BE7CDA"/>
    <w:rsid w:val="00BF02EF"/>
    <w:rsid w:val="00BF030F"/>
    <w:rsid w:val="00BF37F6"/>
    <w:rsid w:val="00BF387A"/>
    <w:rsid w:val="00BF4B90"/>
    <w:rsid w:val="00BF6837"/>
    <w:rsid w:val="00BF6CA7"/>
    <w:rsid w:val="00BF7CA3"/>
    <w:rsid w:val="00C012D7"/>
    <w:rsid w:val="00C02AC8"/>
    <w:rsid w:val="00C10388"/>
    <w:rsid w:val="00C13B78"/>
    <w:rsid w:val="00C14793"/>
    <w:rsid w:val="00C15E42"/>
    <w:rsid w:val="00C17896"/>
    <w:rsid w:val="00C17F72"/>
    <w:rsid w:val="00C213C7"/>
    <w:rsid w:val="00C21A10"/>
    <w:rsid w:val="00C23493"/>
    <w:rsid w:val="00C24965"/>
    <w:rsid w:val="00C25029"/>
    <w:rsid w:val="00C2670A"/>
    <w:rsid w:val="00C269D9"/>
    <w:rsid w:val="00C26DEF"/>
    <w:rsid w:val="00C26EBF"/>
    <w:rsid w:val="00C26F2D"/>
    <w:rsid w:val="00C3087C"/>
    <w:rsid w:val="00C3235C"/>
    <w:rsid w:val="00C36504"/>
    <w:rsid w:val="00C3785E"/>
    <w:rsid w:val="00C37B8B"/>
    <w:rsid w:val="00C4311C"/>
    <w:rsid w:val="00C45122"/>
    <w:rsid w:val="00C451C3"/>
    <w:rsid w:val="00C46509"/>
    <w:rsid w:val="00C55D28"/>
    <w:rsid w:val="00C61166"/>
    <w:rsid w:val="00C617B5"/>
    <w:rsid w:val="00C62B1C"/>
    <w:rsid w:val="00C62DA7"/>
    <w:rsid w:val="00C63D76"/>
    <w:rsid w:val="00C661F2"/>
    <w:rsid w:val="00C70F9E"/>
    <w:rsid w:val="00C716EC"/>
    <w:rsid w:val="00C71CB5"/>
    <w:rsid w:val="00C7229B"/>
    <w:rsid w:val="00C7404C"/>
    <w:rsid w:val="00C7406F"/>
    <w:rsid w:val="00C7408F"/>
    <w:rsid w:val="00C74A4F"/>
    <w:rsid w:val="00C75432"/>
    <w:rsid w:val="00C80254"/>
    <w:rsid w:val="00C831AF"/>
    <w:rsid w:val="00C835FB"/>
    <w:rsid w:val="00C87310"/>
    <w:rsid w:val="00C87343"/>
    <w:rsid w:val="00C90A3F"/>
    <w:rsid w:val="00C91134"/>
    <w:rsid w:val="00C930A0"/>
    <w:rsid w:val="00C96812"/>
    <w:rsid w:val="00C97C35"/>
    <w:rsid w:val="00C97D6A"/>
    <w:rsid w:val="00CA0464"/>
    <w:rsid w:val="00CA2144"/>
    <w:rsid w:val="00CA2642"/>
    <w:rsid w:val="00CA57FF"/>
    <w:rsid w:val="00CA5BBB"/>
    <w:rsid w:val="00CA5F5E"/>
    <w:rsid w:val="00CA7993"/>
    <w:rsid w:val="00CB00F3"/>
    <w:rsid w:val="00CB480F"/>
    <w:rsid w:val="00CB4CB2"/>
    <w:rsid w:val="00CB513D"/>
    <w:rsid w:val="00CB583B"/>
    <w:rsid w:val="00CB7F14"/>
    <w:rsid w:val="00CC0A00"/>
    <w:rsid w:val="00CC165F"/>
    <w:rsid w:val="00CC19B1"/>
    <w:rsid w:val="00CC1A8A"/>
    <w:rsid w:val="00CC1C3F"/>
    <w:rsid w:val="00CC2BEF"/>
    <w:rsid w:val="00CC3485"/>
    <w:rsid w:val="00CC6FF1"/>
    <w:rsid w:val="00CC7D50"/>
    <w:rsid w:val="00CC7D58"/>
    <w:rsid w:val="00CD0382"/>
    <w:rsid w:val="00CD19E3"/>
    <w:rsid w:val="00CD1F2A"/>
    <w:rsid w:val="00CD3401"/>
    <w:rsid w:val="00CD57DA"/>
    <w:rsid w:val="00CE0CA4"/>
    <w:rsid w:val="00CE25F8"/>
    <w:rsid w:val="00CE2838"/>
    <w:rsid w:val="00CE5735"/>
    <w:rsid w:val="00CF08D7"/>
    <w:rsid w:val="00CF0C51"/>
    <w:rsid w:val="00CF27B6"/>
    <w:rsid w:val="00CF34AA"/>
    <w:rsid w:val="00CF449F"/>
    <w:rsid w:val="00CF5870"/>
    <w:rsid w:val="00CF6F51"/>
    <w:rsid w:val="00CF723B"/>
    <w:rsid w:val="00D01214"/>
    <w:rsid w:val="00D01C15"/>
    <w:rsid w:val="00D02ACB"/>
    <w:rsid w:val="00D03F21"/>
    <w:rsid w:val="00D0481A"/>
    <w:rsid w:val="00D065B2"/>
    <w:rsid w:val="00D07128"/>
    <w:rsid w:val="00D103D9"/>
    <w:rsid w:val="00D10726"/>
    <w:rsid w:val="00D11F0B"/>
    <w:rsid w:val="00D121E8"/>
    <w:rsid w:val="00D125EA"/>
    <w:rsid w:val="00D126BC"/>
    <w:rsid w:val="00D13BA6"/>
    <w:rsid w:val="00D14627"/>
    <w:rsid w:val="00D14A42"/>
    <w:rsid w:val="00D22177"/>
    <w:rsid w:val="00D23389"/>
    <w:rsid w:val="00D234B2"/>
    <w:rsid w:val="00D24AFE"/>
    <w:rsid w:val="00D24B15"/>
    <w:rsid w:val="00D2629C"/>
    <w:rsid w:val="00D268FE"/>
    <w:rsid w:val="00D30277"/>
    <w:rsid w:val="00D305C4"/>
    <w:rsid w:val="00D32ED1"/>
    <w:rsid w:val="00D34B78"/>
    <w:rsid w:val="00D350CB"/>
    <w:rsid w:val="00D35597"/>
    <w:rsid w:val="00D35E85"/>
    <w:rsid w:val="00D37F1D"/>
    <w:rsid w:val="00D4008D"/>
    <w:rsid w:val="00D4155C"/>
    <w:rsid w:val="00D42366"/>
    <w:rsid w:val="00D45264"/>
    <w:rsid w:val="00D45D4C"/>
    <w:rsid w:val="00D4797B"/>
    <w:rsid w:val="00D50C84"/>
    <w:rsid w:val="00D510BC"/>
    <w:rsid w:val="00D5435E"/>
    <w:rsid w:val="00D551DF"/>
    <w:rsid w:val="00D6081F"/>
    <w:rsid w:val="00D616BA"/>
    <w:rsid w:val="00D617B6"/>
    <w:rsid w:val="00D633D3"/>
    <w:rsid w:val="00D64D3E"/>
    <w:rsid w:val="00D658BA"/>
    <w:rsid w:val="00D70EF2"/>
    <w:rsid w:val="00D717D6"/>
    <w:rsid w:val="00D7227B"/>
    <w:rsid w:val="00D72F1C"/>
    <w:rsid w:val="00D732F3"/>
    <w:rsid w:val="00D7456F"/>
    <w:rsid w:val="00D746E9"/>
    <w:rsid w:val="00D75749"/>
    <w:rsid w:val="00D80D13"/>
    <w:rsid w:val="00D8224B"/>
    <w:rsid w:val="00D8265F"/>
    <w:rsid w:val="00D82D0D"/>
    <w:rsid w:val="00D835DF"/>
    <w:rsid w:val="00D93680"/>
    <w:rsid w:val="00D936A8"/>
    <w:rsid w:val="00D93FAB"/>
    <w:rsid w:val="00D94808"/>
    <w:rsid w:val="00D9539D"/>
    <w:rsid w:val="00D9602E"/>
    <w:rsid w:val="00D97F5F"/>
    <w:rsid w:val="00DA027F"/>
    <w:rsid w:val="00DA0A41"/>
    <w:rsid w:val="00DA1CE0"/>
    <w:rsid w:val="00DA41A6"/>
    <w:rsid w:val="00DA5C18"/>
    <w:rsid w:val="00DA7D9A"/>
    <w:rsid w:val="00DB0920"/>
    <w:rsid w:val="00DB1A2B"/>
    <w:rsid w:val="00DB3C39"/>
    <w:rsid w:val="00DB5285"/>
    <w:rsid w:val="00DB54BC"/>
    <w:rsid w:val="00DB6853"/>
    <w:rsid w:val="00DB7B71"/>
    <w:rsid w:val="00DC04BB"/>
    <w:rsid w:val="00DC1036"/>
    <w:rsid w:val="00DC4E99"/>
    <w:rsid w:val="00DC55BB"/>
    <w:rsid w:val="00DC7813"/>
    <w:rsid w:val="00DC7C16"/>
    <w:rsid w:val="00DD1479"/>
    <w:rsid w:val="00DD1E14"/>
    <w:rsid w:val="00DD240D"/>
    <w:rsid w:val="00DD385D"/>
    <w:rsid w:val="00DD3AA8"/>
    <w:rsid w:val="00DD41F9"/>
    <w:rsid w:val="00DD5E70"/>
    <w:rsid w:val="00DD68E6"/>
    <w:rsid w:val="00DE094B"/>
    <w:rsid w:val="00DE0BCE"/>
    <w:rsid w:val="00DE2A4A"/>
    <w:rsid w:val="00DE46F9"/>
    <w:rsid w:val="00DE58C7"/>
    <w:rsid w:val="00DE5D6D"/>
    <w:rsid w:val="00DE768F"/>
    <w:rsid w:val="00DE7929"/>
    <w:rsid w:val="00DE7BC4"/>
    <w:rsid w:val="00DF0612"/>
    <w:rsid w:val="00DF1ABE"/>
    <w:rsid w:val="00DF3902"/>
    <w:rsid w:val="00DF4FD2"/>
    <w:rsid w:val="00DF5763"/>
    <w:rsid w:val="00E002C5"/>
    <w:rsid w:val="00E017DF"/>
    <w:rsid w:val="00E02A62"/>
    <w:rsid w:val="00E030FE"/>
    <w:rsid w:val="00E0356E"/>
    <w:rsid w:val="00E03EB6"/>
    <w:rsid w:val="00E05D3A"/>
    <w:rsid w:val="00E06595"/>
    <w:rsid w:val="00E06A3A"/>
    <w:rsid w:val="00E1078D"/>
    <w:rsid w:val="00E14742"/>
    <w:rsid w:val="00E160A3"/>
    <w:rsid w:val="00E165D7"/>
    <w:rsid w:val="00E17A73"/>
    <w:rsid w:val="00E200CF"/>
    <w:rsid w:val="00E2216F"/>
    <w:rsid w:val="00E22A2C"/>
    <w:rsid w:val="00E22C0F"/>
    <w:rsid w:val="00E2484E"/>
    <w:rsid w:val="00E24FE5"/>
    <w:rsid w:val="00E26119"/>
    <w:rsid w:val="00E26808"/>
    <w:rsid w:val="00E26A87"/>
    <w:rsid w:val="00E27AB9"/>
    <w:rsid w:val="00E33CC8"/>
    <w:rsid w:val="00E36740"/>
    <w:rsid w:val="00E3706A"/>
    <w:rsid w:val="00E409D1"/>
    <w:rsid w:val="00E41D1B"/>
    <w:rsid w:val="00E4630A"/>
    <w:rsid w:val="00E463D7"/>
    <w:rsid w:val="00E50434"/>
    <w:rsid w:val="00E51E71"/>
    <w:rsid w:val="00E53FC9"/>
    <w:rsid w:val="00E548F9"/>
    <w:rsid w:val="00E549CF"/>
    <w:rsid w:val="00E55F0D"/>
    <w:rsid w:val="00E57FF6"/>
    <w:rsid w:val="00E6038E"/>
    <w:rsid w:val="00E62037"/>
    <w:rsid w:val="00E622AA"/>
    <w:rsid w:val="00E623FF"/>
    <w:rsid w:val="00E629EB"/>
    <w:rsid w:val="00E63CCB"/>
    <w:rsid w:val="00E652C9"/>
    <w:rsid w:val="00E654F2"/>
    <w:rsid w:val="00E67E3E"/>
    <w:rsid w:val="00E701C6"/>
    <w:rsid w:val="00E7233A"/>
    <w:rsid w:val="00E726D7"/>
    <w:rsid w:val="00E732AE"/>
    <w:rsid w:val="00E73AFC"/>
    <w:rsid w:val="00E76106"/>
    <w:rsid w:val="00E76831"/>
    <w:rsid w:val="00E81DBA"/>
    <w:rsid w:val="00E84604"/>
    <w:rsid w:val="00E85947"/>
    <w:rsid w:val="00E86A7C"/>
    <w:rsid w:val="00E90EF2"/>
    <w:rsid w:val="00E96D31"/>
    <w:rsid w:val="00E96D5F"/>
    <w:rsid w:val="00E9745B"/>
    <w:rsid w:val="00E97DD4"/>
    <w:rsid w:val="00EA5010"/>
    <w:rsid w:val="00EA52FC"/>
    <w:rsid w:val="00EA5975"/>
    <w:rsid w:val="00EB08B6"/>
    <w:rsid w:val="00EB0B51"/>
    <w:rsid w:val="00EB2DDF"/>
    <w:rsid w:val="00EB762F"/>
    <w:rsid w:val="00EC1938"/>
    <w:rsid w:val="00EC2460"/>
    <w:rsid w:val="00EC2C9D"/>
    <w:rsid w:val="00EC55BC"/>
    <w:rsid w:val="00EC5763"/>
    <w:rsid w:val="00EC7B96"/>
    <w:rsid w:val="00ED013B"/>
    <w:rsid w:val="00ED1903"/>
    <w:rsid w:val="00ED2514"/>
    <w:rsid w:val="00ED41E5"/>
    <w:rsid w:val="00ED555E"/>
    <w:rsid w:val="00ED56ED"/>
    <w:rsid w:val="00ED59F7"/>
    <w:rsid w:val="00EE05D6"/>
    <w:rsid w:val="00EE126D"/>
    <w:rsid w:val="00EE22D4"/>
    <w:rsid w:val="00EE25F8"/>
    <w:rsid w:val="00EE5CEC"/>
    <w:rsid w:val="00EE5E8E"/>
    <w:rsid w:val="00EE6695"/>
    <w:rsid w:val="00EE6FB2"/>
    <w:rsid w:val="00EF557B"/>
    <w:rsid w:val="00F00A4E"/>
    <w:rsid w:val="00F00ED8"/>
    <w:rsid w:val="00F01034"/>
    <w:rsid w:val="00F012A0"/>
    <w:rsid w:val="00F04C9F"/>
    <w:rsid w:val="00F06569"/>
    <w:rsid w:val="00F06F03"/>
    <w:rsid w:val="00F06FDF"/>
    <w:rsid w:val="00F10972"/>
    <w:rsid w:val="00F14E5F"/>
    <w:rsid w:val="00F16B9A"/>
    <w:rsid w:val="00F2051E"/>
    <w:rsid w:val="00F213E5"/>
    <w:rsid w:val="00F22674"/>
    <w:rsid w:val="00F2300A"/>
    <w:rsid w:val="00F23C66"/>
    <w:rsid w:val="00F2405A"/>
    <w:rsid w:val="00F242A2"/>
    <w:rsid w:val="00F256C6"/>
    <w:rsid w:val="00F27668"/>
    <w:rsid w:val="00F27B07"/>
    <w:rsid w:val="00F315E9"/>
    <w:rsid w:val="00F3357C"/>
    <w:rsid w:val="00F33698"/>
    <w:rsid w:val="00F338E1"/>
    <w:rsid w:val="00F34AF8"/>
    <w:rsid w:val="00F401DC"/>
    <w:rsid w:val="00F41CD8"/>
    <w:rsid w:val="00F4478B"/>
    <w:rsid w:val="00F454C5"/>
    <w:rsid w:val="00F45E9C"/>
    <w:rsid w:val="00F4745F"/>
    <w:rsid w:val="00F51084"/>
    <w:rsid w:val="00F5306F"/>
    <w:rsid w:val="00F55C68"/>
    <w:rsid w:val="00F5770B"/>
    <w:rsid w:val="00F60617"/>
    <w:rsid w:val="00F60AA1"/>
    <w:rsid w:val="00F60F00"/>
    <w:rsid w:val="00F61641"/>
    <w:rsid w:val="00F63092"/>
    <w:rsid w:val="00F673EB"/>
    <w:rsid w:val="00F67A1F"/>
    <w:rsid w:val="00F7088F"/>
    <w:rsid w:val="00F7306B"/>
    <w:rsid w:val="00F74166"/>
    <w:rsid w:val="00F74F33"/>
    <w:rsid w:val="00F7638E"/>
    <w:rsid w:val="00F773CF"/>
    <w:rsid w:val="00F773EA"/>
    <w:rsid w:val="00F8101D"/>
    <w:rsid w:val="00F86097"/>
    <w:rsid w:val="00F878AE"/>
    <w:rsid w:val="00F879E4"/>
    <w:rsid w:val="00F9058C"/>
    <w:rsid w:val="00F94FD0"/>
    <w:rsid w:val="00F95311"/>
    <w:rsid w:val="00F96979"/>
    <w:rsid w:val="00F97694"/>
    <w:rsid w:val="00FA3E91"/>
    <w:rsid w:val="00FA424F"/>
    <w:rsid w:val="00FA4A8C"/>
    <w:rsid w:val="00FA5A21"/>
    <w:rsid w:val="00FA68C2"/>
    <w:rsid w:val="00FB15BF"/>
    <w:rsid w:val="00FB1603"/>
    <w:rsid w:val="00FB23EE"/>
    <w:rsid w:val="00FB3D8A"/>
    <w:rsid w:val="00FB4D40"/>
    <w:rsid w:val="00FB7078"/>
    <w:rsid w:val="00FC2D72"/>
    <w:rsid w:val="00FC3568"/>
    <w:rsid w:val="00FC6086"/>
    <w:rsid w:val="00FC6ECF"/>
    <w:rsid w:val="00FD0453"/>
    <w:rsid w:val="00FD0685"/>
    <w:rsid w:val="00FD0FCB"/>
    <w:rsid w:val="00FD18EB"/>
    <w:rsid w:val="00FD4098"/>
    <w:rsid w:val="00FD7178"/>
    <w:rsid w:val="00FD7BA0"/>
    <w:rsid w:val="00FD7DC9"/>
    <w:rsid w:val="00FE07A7"/>
    <w:rsid w:val="00FE0DE4"/>
    <w:rsid w:val="00FE1BED"/>
    <w:rsid w:val="00FE61FA"/>
    <w:rsid w:val="00FF0D41"/>
    <w:rsid w:val="00FF2A90"/>
    <w:rsid w:val="00FF3268"/>
    <w:rsid w:val="00FF4412"/>
    <w:rsid w:val="00FF4B1F"/>
    <w:rsid w:val="00FF6D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86E898"/>
  <w15:chartTrackingRefBased/>
  <w15:docId w15:val="{3A264204-5AAD-2C4C-A41B-8F9686C6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40548803">
      <w:bodyDiv w:val="1"/>
      <w:marLeft w:val="0"/>
      <w:marRight w:val="0"/>
      <w:marTop w:val="0"/>
      <w:marBottom w:val="0"/>
      <w:divBdr>
        <w:top w:val="none" w:sz="0" w:space="0" w:color="auto"/>
        <w:left w:val="none" w:sz="0" w:space="0" w:color="auto"/>
        <w:bottom w:val="none" w:sz="0" w:space="0" w:color="auto"/>
        <w:right w:val="none" w:sz="0" w:space="0" w:color="auto"/>
      </w:divBdr>
      <w:divsChild>
        <w:div w:id="369110206">
          <w:marLeft w:val="0"/>
          <w:marRight w:val="0"/>
          <w:marTop w:val="0"/>
          <w:marBottom w:val="0"/>
          <w:divBdr>
            <w:top w:val="none" w:sz="0" w:space="0" w:color="auto"/>
            <w:left w:val="none" w:sz="0" w:space="0" w:color="auto"/>
            <w:bottom w:val="none" w:sz="0" w:space="0" w:color="auto"/>
            <w:right w:val="none" w:sz="0" w:space="0" w:color="auto"/>
          </w:divBdr>
          <w:divsChild>
            <w:div w:id="1377966095">
              <w:marLeft w:val="0"/>
              <w:marRight w:val="0"/>
              <w:marTop w:val="0"/>
              <w:marBottom w:val="0"/>
              <w:divBdr>
                <w:top w:val="none" w:sz="0" w:space="0" w:color="auto"/>
                <w:left w:val="none" w:sz="0" w:space="0" w:color="auto"/>
                <w:bottom w:val="none" w:sz="0" w:space="0" w:color="auto"/>
                <w:right w:val="none" w:sz="0" w:space="0" w:color="auto"/>
              </w:divBdr>
              <w:divsChild>
                <w:div w:id="1328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80488102">
      <w:bodyDiv w:val="1"/>
      <w:marLeft w:val="0"/>
      <w:marRight w:val="0"/>
      <w:marTop w:val="0"/>
      <w:marBottom w:val="0"/>
      <w:divBdr>
        <w:top w:val="none" w:sz="0" w:space="0" w:color="auto"/>
        <w:left w:val="none" w:sz="0" w:space="0" w:color="auto"/>
        <w:bottom w:val="none" w:sz="0" w:space="0" w:color="auto"/>
        <w:right w:val="none" w:sz="0" w:space="0" w:color="auto"/>
      </w:divBdr>
      <w:divsChild>
        <w:div w:id="1277366244">
          <w:marLeft w:val="0"/>
          <w:marRight w:val="0"/>
          <w:marTop w:val="0"/>
          <w:marBottom w:val="0"/>
          <w:divBdr>
            <w:top w:val="none" w:sz="0" w:space="0" w:color="auto"/>
            <w:left w:val="none" w:sz="0" w:space="0" w:color="auto"/>
            <w:bottom w:val="none" w:sz="0" w:space="0" w:color="auto"/>
            <w:right w:val="none" w:sz="0" w:space="0" w:color="auto"/>
          </w:divBdr>
        </w:div>
      </w:divsChild>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213928075">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71F71-C89D-43DC-B86D-2EC11F4C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783FB562.dotm</Template>
  <TotalTime>2</TotalTime>
  <Pages>13</Pages>
  <Words>3918</Words>
  <Characters>20743</Characters>
  <Application>Microsoft Office Word</Application>
  <DocSecurity>12</DocSecurity>
  <Lines>172</Lines>
  <Paragraphs>49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Frank Dawson</dc:creator>
  <cp:keywords/>
  <dc:description/>
  <cp:lastModifiedBy>Rahel Baum (CSV)</cp:lastModifiedBy>
  <cp:revision>2</cp:revision>
  <cp:lastPrinted>2020-04-16T06:43:00Z</cp:lastPrinted>
  <dcterms:created xsi:type="dcterms:W3CDTF">2020-04-21T03:21:00Z</dcterms:created>
  <dcterms:modified xsi:type="dcterms:W3CDTF">2020-04-21T03:21:00Z</dcterms:modified>
</cp:coreProperties>
</file>