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FAFC" w14:textId="4A1F208C" w:rsidR="00B24E43" w:rsidRDefault="005B31E3" w:rsidP="001E5F05">
      <w:pPr>
        <w:pStyle w:val="TitlePage1"/>
        <w:ind w:left="142"/>
      </w:pPr>
      <w:bookmarkStart w:id="0" w:name="_GoBack"/>
      <w:bookmarkEnd w:id="0"/>
      <w:r>
        <w:rPr>
          <w:noProof/>
        </w:rPr>
        <w:drawing>
          <wp:anchor distT="0" distB="0" distL="114300" distR="114300" simplePos="0" relativeHeight="251658240" behindDoc="1" locked="0" layoutInCell="1" allowOverlap="1" wp14:anchorId="27308064" wp14:editId="54C35E1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24E43">
        <w:t xml:space="preserve">VICTORIAN CIVIL AND </w:t>
      </w:r>
      <w:r w:rsidR="00B24E43" w:rsidRPr="00A522C6">
        <w:t>ADMINISTRATIVE</w:t>
      </w:r>
      <w:r w:rsidR="00B24E43">
        <w:t xml:space="preserve"> TRIBUNAL</w:t>
      </w:r>
    </w:p>
    <w:p w14:paraId="3CEEA017" w14:textId="77777777" w:rsidR="00B24E43" w:rsidRPr="00A522C6" w:rsidRDefault="00B24E43"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B24E43" w14:paraId="0B5D3993" w14:textId="77777777" w:rsidTr="008E2ED1">
        <w:trPr>
          <w:cantSplit/>
        </w:trPr>
        <w:tc>
          <w:tcPr>
            <w:tcW w:w="2750" w:type="pct"/>
          </w:tcPr>
          <w:p w14:paraId="298066A7" w14:textId="77777777" w:rsidR="00B24E43" w:rsidRDefault="00B24E43" w:rsidP="008E2ED1">
            <w:pPr>
              <w:pStyle w:val="TitlePage2"/>
              <w:ind w:left="34"/>
            </w:pPr>
            <w:r>
              <w:t>planning and environment LIST</w:t>
            </w:r>
          </w:p>
        </w:tc>
        <w:tc>
          <w:tcPr>
            <w:tcW w:w="2250" w:type="pct"/>
          </w:tcPr>
          <w:p w14:paraId="3DEED568" w14:textId="77777777" w:rsidR="00B24E43" w:rsidRDefault="00B24E43" w:rsidP="008E2ED1">
            <w:pPr>
              <w:pStyle w:val="TitlePage3"/>
            </w:pPr>
            <w:r>
              <w:t xml:space="preserve">vcat reference No. </w:t>
            </w:r>
            <w:r w:rsidRPr="00316358">
              <w:rPr>
                <w:noProof/>
              </w:rPr>
              <w:t>P369/2020</w:t>
            </w:r>
          </w:p>
          <w:p w14:paraId="0E7DCE3A" w14:textId="77777777" w:rsidR="00B24E43" w:rsidRDefault="00B24E43" w:rsidP="008E2ED1">
            <w:pPr>
              <w:pStyle w:val="TitlePage3"/>
            </w:pPr>
            <w:r>
              <w:t xml:space="preserve">Permit Application no. </w:t>
            </w:r>
            <w:bookmarkStart w:id="1" w:name="_Hlk50636513"/>
            <w:r w:rsidRPr="00B24E43">
              <w:t>TPA/50800</w:t>
            </w:r>
            <w:bookmarkEnd w:id="1"/>
          </w:p>
        </w:tc>
      </w:tr>
      <w:tr w:rsidR="00B24E43" w14:paraId="67218037" w14:textId="77777777" w:rsidTr="008E2ED1">
        <w:tblPrEx>
          <w:jc w:val="center"/>
        </w:tblPrEx>
        <w:trPr>
          <w:cantSplit/>
          <w:jc w:val="center"/>
        </w:trPr>
        <w:tc>
          <w:tcPr>
            <w:tcW w:w="5000" w:type="pct"/>
            <w:gridSpan w:val="2"/>
          </w:tcPr>
          <w:p w14:paraId="12768037" w14:textId="77777777" w:rsidR="00B24E43" w:rsidRDefault="00B24E43" w:rsidP="008E2ED1">
            <w:pPr>
              <w:pStyle w:val="TitlePage2"/>
              <w:jc w:val="center"/>
            </w:pPr>
            <w:r>
              <w:t>CATCHWORDS</w:t>
            </w:r>
          </w:p>
        </w:tc>
      </w:tr>
      <w:tr w:rsidR="00B24E43" w14:paraId="4B547F33" w14:textId="77777777" w:rsidTr="008E2ED1">
        <w:tblPrEx>
          <w:jc w:val="center"/>
        </w:tblPrEx>
        <w:trPr>
          <w:cantSplit/>
          <w:jc w:val="center"/>
        </w:trPr>
        <w:tc>
          <w:tcPr>
            <w:tcW w:w="5000" w:type="pct"/>
            <w:gridSpan w:val="2"/>
          </w:tcPr>
          <w:p w14:paraId="0B40ADB4" w14:textId="2E5919BE" w:rsidR="00B24E43" w:rsidRDefault="00B24E43" w:rsidP="008E2ED1">
            <w:pPr>
              <w:pStyle w:val="Catchwords"/>
            </w:pPr>
            <w:r w:rsidRPr="00F71927">
              <w:t xml:space="preserve"> </w:t>
            </w:r>
            <w:r w:rsidR="00F71927" w:rsidRPr="00F71927">
              <w:t xml:space="preserve">Application under section 77 of the </w:t>
            </w:r>
            <w:r w:rsidR="00F71927" w:rsidRPr="00F71927">
              <w:rPr>
                <w:i/>
              </w:rPr>
              <w:t>Planning and Environment Act 1987</w:t>
            </w:r>
            <w:r w:rsidR="00F71927" w:rsidRPr="00F71927">
              <w:t xml:space="preserve"> – to review the refusal to grant a permit.</w:t>
            </w:r>
            <w:r w:rsidRPr="00F71927">
              <w:t xml:space="preserve">    </w:t>
            </w:r>
          </w:p>
        </w:tc>
      </w:tr>
    </w:tbl>
    <w:p w14:paraId="03A092D6" w14:textId="77777777" w:rsidR="00B24E43" w:rsidRDefault="00B24E43" w:rsidP="001E5F05"/>
    <w:tbl>
      <w:tblPr>
        <w:tblW w:w="5000" w:type="pct"/>
        <w:tblLook w:val="0000" w:firstRow="0" w:lastRow="0" w:firstColumn="0" w:lastColumn="0" w:noHBand="0" w:noVBand="0"/>
      </w:tblPr>
      <w:tblGrid>
        <w:gridCol w:w="3545"/>
        <w:gridCol w:w="4960"/>
      </w:tblGrid>
      <w:tr w:rsidR="00B24E43" w14:paraId="4F070B19" w14:textId="77777777" w:rsidTr="008E2ED1">
        <w:tc>
          <w:tcPr>
            <w:tcW w:w="2084" w:type="pct"/>
          </w:tcPr>
          <w:p w14:paraId="422DBDE9" w14:textId="77777777" w:rsidR="00B24E43" w:rsidRDefault="00B24E43" w:rsidP="008E2ED1">
            <w:pPr>
              <w:pStyle w:val="TitlePage2"/>
            </w:pPr>
            <w:r>
              <w:t>APPLICANT</w:t>
            </w:r>
          </w:p>
        </w:tc>
        <w:tc>
          <w:tcPr>
            <w:tcW w:w="2916" w:type="pct"/>
          </w:tcPr>
          <w:p w14:paraId="6FDB66E3" w14:textId="77777777" w:rsidR="00B24E43" w:rsidRDefault="00B24E43" w:rsidP="008E2ED1">
            <w:pPr>
              <w:pStyle w:val="TitlePagetext"/>
            </w:pPr>
            <w:r w:rsidRPr="00316358">
              <w:rPr>
                <w:noProof/>
              </w:rPr>
              <w:t>BLK Kingston Pty Ltd</w:t>
            </w:r>
          </w:p>
        </w:tc>
      </w:tr>
      <w:tr w:rsidR="00B24E43" w14:paraId="5E48603E" w14:textId="77777777" w:rsidTr="008E2ED1">
        <w:tc>
          <w:tcPr>
            <w:tcW w:w="2084" w:type="pct"/>
          </w:tcPr>
          <w:p w14:paraId="5C41A901" w14:textId="77777777" w:rsidR="00B24E43" w:rsidRDefault="00B24E43" w:rsidP="008E2ED1">
            <w:pPr>
              <w:pStyle w:val="TitlePage2"/>
            </w:pPr>
            <w:r>
              <w:t>responsible authority</w:t>
            </w:r>
          </w:p>
        </w:tc>
        <w:tc>
          <w:tcPr>
            <w:tcW w:w="2916" w:type="pct"/>
          </w:tcPr>
          <w:p w14:paraId="5DFD6CEB" w14:textId="77777777" w:rsidR="00B24E43" w:rsidRDefault="00B24E43" w:rsidP="008E2ED1">
            <w:pPr>
              <w:pStyle w:val="TitlePagetext"/>
            </w:pPr>
            <w:r w:rsidRPr="00316358">
              <w:rPr>
                <w:noProof/>
              </w:rPr>
              <w:t>Monash City Council</w:t>
            </w:r>
          </w:p>
        </w:tc>
      </w:tr>
      <w:tr w:rsidR="00B24E43" w14:paraId="1B228129" w14:textId="77777777" w:rsidTr="008E2ED1">
        <w:tc>
          <w:tcPr>
            <w:tcW w:w="2084" w:type="pct"/>
          </w:tcPr>
          <w:p w14:paraId="19A10171" w14:textId="77777777" w:rsidR="00B24E43" w:rsidRDefault="00B24E43" w:rsidP="008E2ED1">
            <w:pPr>
              <w:pStyle w:val="TitlePage2"/>
            </w:pPr>
            <w:r>
              <w:t>SUBJECT LAND</w:t>
            </w:r>
          </w:p>
        </w:tc>
        <w:tc>
          <w:tcPr>
            <w:tcW w:w="2916" w:type="pct"/>
          </w:tcPr>
          <w:p w14:paraId="50C11A80" w14:textId="77777777" w:rsidR="00B24E43" w:rsidRDefault="00B24E43" w:rsidP="008E2ED1">
            <w:pPr>
              <w:pStyle w:val="TitlePagetext"/>
            </w:pPr>
            <w:r w:rsidRPr="00316358">
              <w:rPr>
                <w:noProof/>
              </w:rPr>
              <w:t>17 Bales Street</w:t>
            </w:r>
            <w:r>
              <w:rPr>
                <w:noProof/>
              </w:rPr>
              <w:br/>
            </w:r>
            <w:r w:rsidRPr="00316358">
              <w:rPr>
                <w:noProof/>
              </w:rPr>
              <w:t>MOUNT WAVERLEY  VIC  3149</w:t>
            </w:r>
          </w:p>
        </w:tc>
      </w:tr>
      <w:tr w:rsidR="00B24E43" w14:paraId="634319C0" w14:textId="77777777" w:rsidTr="008E2ED1">
        <w:tc>
          <w:tcPr>
            <w:tcW w:w="2084" w:type="pct"/>
          </w:tcPr>
          <w:p w14:paraId="15C1C183" w14:textId="77777777" w:rsidR="00B24E43" w:rsidRDefault="00B24E43" w:rsidP="008E2ED1">
            <w:pPr>
              <w:pStyle w:val="TitlePage2"/>
            </w:pPr>
            <w:r>
              <w:t>WHERE HELD</w:t>
            </w:r>
          </w:p>
        </w:tc>
        <w:tc>
          <w:tcPr>
            <w:tcW w:w="2916" w:type="pct"/>
          </w:tcPr>
          <w:p w14:paraId="45297A3C" w14:textId="77777777" w:rsidR="00B24E43" w:rsidRDefault="00B24E43" w:rsidP="008E2ED1">
            <w:pPr>
              <w:pStyle w:val="TitlePagetext"/>
            </w:pPr>
            <w:r>
              <w:t>Melbourne</w:t>
            </w:r>
          </w:p>
        </w:tc>
      </w:tr>
      <w:tr w:rsidR="00B24E43" w14:paraId="792AF8CB" w14:textId="77777777" w:rsidTr="008E2ED1">
        <w:tc>
          <w:tcPr>
            <w:tcW w:w="2084" w:type="pct"/>
          </w:tcPr>
          <w:p w14:paraId="203FBF4E" w14:textId="77777777" w:rsidR="00B24E43" w:rsidRDefault="00B24E43" w:rsidP="008E2ED1">
            <w:pPr>
              <w:pStyle w:val="TitlePage2"/>
            </w:pPr>
            <w:r>
              <w:t>BEFORE</w:t>
            </w:r>
          </w:p>
        </w:tc>
        <w:tc>
          <w:tcPr>
            <w:tcW w:w="2916" w:type="pct"/>
          </w:tcPr>
          <w:p w14:paraId="489AE409" w14:textId="77777777" w:rsidR="00B24E43" w:rsidRDefault="00B24E43" w:rsidP="008E2ED1">
            <w:pPr>
              <w:pStyle w:val="TitlePagetext"/>
            </w:pPr>
            <w:r>
              <w:t>Laurie Hewet, Senior Member</w:t>
            </w:r>
          </w:p>
        </w:tc>
      </w:tr>
      <w:tr w:rsidR="00B24E43" w14:paraId="07B9484B" w14:textId="77777777" w:rsidTr="008E2ED1">
        <w:tc>
          <w:tcPr>
            <w:tcW w:w="2084" w:type="pct"/>
          </w:tcPr>
          <w:p w14:paraId="0097878D" w14:textId="77777777" w:rsidR="00B24E43" w:rsidRDefault="00B24E43" w:rsidP="008E2ED1">
            <w:pPr>
              <w:pStyle w:val="TitlePage2"/>
            </w:pPr>
            <w:r>
              <w:t>HEARING TYPE</w:t>
            </w:r>
          </w:p>
        </w:tc>
        <w:tc>
          <w:tcPr>
            <w:tcW w:w="2916" w:type="pct"/>
          </w:tcPr>
          <w:p w14:paraId="5037CCD1" w14:textId="77777777" w:rsidR="00B24E43" w:rsidRDefault="00B24E43" w:rsidP="008E2ED1">
            <w:pPr>
              <w:pStyle w:val="TitlePagetext"/>
            </w:pPr>
            <w:r w:rsidRPr="00316358">
              <w:rPr>
                <w:noProof/>
              </w:rPr>
              <w:t>Hearing</w:t>
            </w:r>
          </w:p>
        </w:tc>
      </w:tr>
      <w:tr w:rsidR="00B24E43" w14:paraId="12943D1F" w14:textId="77777777" w:rsidTr="008E2ED1">
        <w:tc>
          <w:tcPr>
            <w:tcW w:w="2084" w:type="pct"/>
          </w:tcPr>
          <w:p w14:paraId="6A17266E" w14:textId="77777777" w:rsidR="00B24E43" w:rsidRDefault="00B24E43" w:rsidP="008E2ED1">
            <w:pPr>
              <w:pStyle w:val="TitlePage2"/>
            </w:pPr>
            <w:r>
              <w:t>DATE OF HEARING</w:t>
            </w:r>
          </w:p>
        </w:tc>
        <w:tc>
          <w:tcPr>
            <w:tcW w:w="2916" w:type="pct"/>
          </w:tcPr>
          <w:p w14:paraId="152A4B37" w14:textId="77777777" w:rsidR="00B24E43" w:rsidRDefault="00B24E43" w:rsidP="008E2ED1">
            <w:pPr>
              <w:pStyle w:val="TitlePagetext"/>
            </w:pPr>
            <w:r w:rsidRPr="00316358">
              <w:rPr>
                <w:noProof/>
              </w:rPr>
              <w:t>10 September 2020</w:t>
            </w:r>
          </w:p>
        </w:tc>
      </w:tr>
      <w:tr w:rsidR="00B24E43" w14:paraId="12BD8828" w14:textId="77777777" w:rsidTr="008E2ED1">
        <w:tc>
          <w:tcPr>
            <w:tcW w:w="2084" w:type="pct"/>
          </w:tcPr>
          <w:p w14:paraId="5BF99451" w14:textId="77777777" w:rsidR="00B24E43" w:rsidRDefault="00B24E43" w:rsidP="008E2ED1">
            <w:pPr>
              <w:pStyle w:val="TitlePage2"/>
            </w:pPr>
            <w:r>
              <w:t>DATE OF ORDER</w:t>
            </w:r>
          </w:p>
        </w:tc>
        <w:tc>
          <w:tcPr>
            <w:tcW w:w="2916" w:type="pct"/>
          </w:tcPr>
          <w:p w14:paraId="10BBE143" w14:textId="0169E4EF" w:rsidR="00B24E43" w:rsidRDefault="00F71927" w:rsidP="008E2ED1">
            <w:pPr>
              <w:pStyle w:val="TitlePagetext"/>
            </w:pPr>
            <w:r>
              <w:t xml:space="preserve">10 September 2020 </w:t>
            </w:r>
          </w:p>
        </w:tc>
      </w:tr>
    </w:tbl>
    <w:p w14:paraId="1FE56A03" w14:textId="77777777" w:rsidR="00B24E43" w:rsidRDefault="00B24E43" w:rsidP="001E5F05"/>
    <w:p w14:paraId="3F20A9D7" w14:textId="77777777" w:rsidR="00B24E43" w:rsidRDefault="00B24E43" w:rsidP="001E5F05">
      <w:pPr>
        <w:pStyle w:val="Heading1"/>
      </w:pPr>
      <w:r>
        <w:t>Order</w:t>
      </w:r>
    </w:p>
    <w:p w14:paraId="63207226" w14:textId="77777777" w:rsidR="00B24E43" w:rsidRDefault="00B24E43" w:rsidP="001E5F05">
      <w:pPr>
        <w:pStyle w:val="Order1"/>
      </w:pPr>
    </w:p>
    <w:p w14:paraId="5190076B" w14:textId="77777777" w:rsidR="00E3089B" w:rsidRPr="00E3089B" w:rsidRDefault="00B24E43" w:rsidP="00E3089B">
      <w:pPr>
        <w:pStyle w:val="Order2"/>
      </w:pPr>
      <w:r>
        <w:t xml:space="preserve"> </w:t>
      </w:r>
      <w:r w:rsidR="00E3089B" w:rsidRPr="00E3089B">
        <w:rPr>
          <w:lang w:val="en-GB"/>
        </w:rPr>
        <w:t xml:space="preserve">Pursuant to clause 64 of Schedule 1 of the </w:t>
      </w:r>
      <w:r w:rsidR="00E3089B" w:rsidRPr="00E3089B">
        <w:rPr>
          <w:i/>
          <w:lang w:val="en-GB"/>
        </w:rPr>
        <w:t xml:space="preserve">Victorian Civil &amp; Administrative Tribunal Act </w:t>
      </w:r>
      <w:r w:rsidR="00E3089B" w:rsidRPr="00E3089B">
        <w:rPr>
          <w:i/>
        </w:rPr>
        <w:t>1998</w:t>
      </w:r>
      <w:r w:rsidR="00E3089B" w:rsidRPr="00E3089B">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1"/>
        <w:gridCol w:w="5034"/>
      </w:tblGrid>
      <w:tr w:rsidR="00E3089B" w:rsidRPr="00E3089B" w14:paraId="68D33640" w14:textId="77777777" w:rsidTr="00E93F81">
        <w:tc>
          <w:tcPr>
            <w:tcW w:w="3528" w:type="dxa"/>
            <w:shd w:val="clear" w:color="auto" w:fill="auto"/>
          </w:tcPr>
          <w:p w14:paraId="1D7986BD" w14:textId="77777777" w:rsidR="00E3089B" w:rsidRPr="00E3089B" w:rsidRDefault="00E3089B" w:rsidP="00E3089B">
            <w:pPr>
              <w:pStyle w:val="Order2"/>
              <w:numPr>
                <w:ilvl w:val="1"/>
                <w:numId w:val="8"/>
              </w:numPr>
            </w:pPr>
            <w:r w:rsidRPr="00E3089B">
              <w:t>Prepared by:</w:t>
            </w:r>
          </w:p>
        </w:tc>
        <w:tc>
          <w:tcPr>
            <w:tcW w:w="5193" w:type="dxa"/>
            <w:shd w:val="clear" w:color="auto" w:fill="auto"/>
          </w:tcPr>
          <w:p w14:paraId="5A32C598" w14:textId="62271922" w:rsidR="00E3089B" w:rsidRPr="00E3089B" w:rsidRDefault="007440A9" w:rsidP="00E63BE5">
            <w:pPr>
              <w:pStyle w:val="Order2"/>
              <w:numPr>
                <w:ilvl w:val="0"/>
                <w:numId w:val="0"/>
              </w:numPr>
              <w:ind w:left="567"/>
            </w:pPr>
            <w:r>
              <w:t xml:space="preserve">Fd Architects </w:t>
            </w:r>
            <w:r w:rsidR="002535EA">
              <w:t>Pty Ltd</w:t>
            </w:r>
          </w:p>
        </w:tc>
      </w:tr>
      <w:tr w:rsidR="00E3089B" w:rsidRPr="00E3089B" w14:paraId="10777940" w14:textId="77777777" w:rsidTr="00E93F81">
        <w:tc>
          <w:tcPr>
            <w:tcW w:w="3528" w:type="dxa"/>
            <w:shd w:val="clear" w:color="auto" w:fill="auto"/>
          </w:tcPr>
          <w:p w14:paraId="09D533E2" w14:textId="77777777" w:rsidR="00E3089B" w:rsidRPr="00E3089B" w:rsidRDefault="00E3089B" w:rsidP="00E3089B">
            <w:pPr>
              <w:pStyle w:val="Order2"/>
              <w:numPr>
                <w:ilvl w:val="1"/>
                <w:numId w:val="8"/>
              </w:numPr>
            </w:pPr>
            <w:r w:rsidRPr="00E3089B">
              <w:t>Drawing numbers:</w:t>
            </w:r>
          </w:p>
        </w:tc>
        <w:tc>
          <w:tcPr>
            <w:tcW w:w="5193" w:type="dxa"/>
            <w:shd w:val="clear" w:color="auto" w:fill="auto"/>
          </w:tcPr>
          <w:p w14:paraId="53341787" w14:textId="293CF8CD" w:rsidR="00E3089B" w:rsidRPr="00E3089B" w:rsidRDefault="002535EA" w:rsidP="00E63BE5">
            <w:pPr>
              <w:pStyle w:val="Order2"/>
              <w:numPr>
                <w:ilvl w:val="0"/>
                <w:numId w:val="0"/>
              </w:numPr>
              <w:ind w:left="567"/>
            </w:pPr>
            <w:r>
              <w:t>TP01, TP02A, TP03A, TP04A</w:t>
            </w:r>
            <w:r w:rsidR="00CF3170">
              <w:t>, TP05A, TP06A</w:t>
            </w:r>
          </w:p>
        </w:tc>
      </w:tr>
      <w:tr w:rsidR="00E3089B" w:rsidRPr="00E3089B" w14:paraId="6374245C" w14:textId="77777777" w:rsidTr="00E93F81">
        <w:tc>
          <w:tcPr>
            <w:tcW w:w="3528" w:type="dxa"/>
            <w:shd w:val="clear" w:color="auto" w:fill="auto"/>
          </w:tcPr>
          <w:p w14:paraId="5273529B" w14:textId="77777777" w:rsidR="00E3089B" w:rsidRPr="00E3089B" w:rsidRDefault="00E3089B" w:rsidP="00E3089B">
            <w:pPr>
              <w:pStyle w:val="Order2"/>
              <w:numPr>
                <w:ilvl w:val="1"/>
                <w:numId w:val="8"/>
              </w:numPr>
            </w:pPr>
            <w:r w:rsidRPr="00E3089B">
              <w:t>Dated:</w:t>
            </w:r>
          </w:p>
        </w:tc>
        <w:tc>
          <w:tcPr>
            <w:tcW w:w="5193" w:type="dxa"/>
            <w:shd w:val="clear" w:color="auto" w:fill="auto"/>
          </w:tcPr>
          <w:p w14:paraId="2D34F3A7" w14:textId="296A29F6" w:rsidR="00E3089B" w:rsidRPr="00E3089B" w:rsidRDefault="00CF3170" w:rsidP="00E63BE5">
            <w:pPr>
              <w:pStyle w:val="Order2"/>
              <w:numPr>
                <w:ilvl w:val="0"/>
                <w:numId w:val="0"/>
              </w:numPr>
              <w:ind w:left="567"/>
            </w:pPr>
            <w:r>
              <w:t>15/0620</w:t>
            </w:r>
          </w:p>
        </w:tc>
      </w:tr>
    </w:tbl>
    <w:p w14:paraId="2013B751" w14:textId="2CBE4FE0" w:rsidR="007007CB" w:rsidRPr="007007CB" w:rsidRDefault="007007CB" w:rsidP="007007CB">
      <w:pPr>
        <w:pStyle w:val="Order2"/>
      </w:pPr>
      <w:r w:rsidRPr="007007CB">
        <w:t>The decision of the Responsible Authority is set aside.</w:t>
      </w:r>
    </w:p>
    <w:p w14:paraId="2F6C5859" w14:textId="05F65FDA" w:rsidR="007007CB" w:rsidRPr="007007CB" w:rsidRDefault="007007CB" w:rsidP="007007CB">
      <w:pPr>
        <w:pStyle w:val="Order2"/>
      </w:pPr>
      <w:r w:rsidRPr="007007CB">
        <w:t>In permit application</w:t>
      </w:r>
      <w:r>
        <w:t xml:space="preserve"> </w:t>
      </w:r>
      <w:r w:rsidRPr="007007CB">
        <w:t xml:space="preserve"> TPA/50800 a permit is granted and directed to be issued for the land at</w:t>
      </w:r>
      <w:r w:rsidR="00165E22">
        <w:t xml:space="preserve"> </w:t>
      </w:r>
      <w:r w:rsidR="007E1F51">
        <w:t xml:space="preserve">17 Bales Street </w:t>
      </w:r>
      <w:r w:rsidR="00757BB5">
        <w:t xml:space="preserve">Mount Waverley </w:t>
      </w:r>
      <w:r w:rsidRPr="007007CB">
        <w:t xml:space="preserve"> in accordance with the endorsed plans and on the conditions set out in Appendix A.  The permit allows:</w:t>
      </w:r>
    </w:p>
    <w:p w14:paraId="3458F8D8" w14:textId="00EAE18D" w:rsidR="007007CB" w:rsidRPr="007007CB" w:rsidRDefault="007007CB" w:rsidP="00CF3170">
      <w:pPr>
        <w:pStyle w:val="Order2"/>
        <w:numPr>
          <w:ilvl w:val="1"/>
          <w:numId w:val="8"/>
        </w:numPr>
        <w:rPr>
          <w:i/>
        </w:rPr>
      </w:pPr>
      <w:r w:rsidRPr="007007CB">
        <w:rPr>
          <w:i/>
        </w:rPr>
        <w:t>Development of two or more dwellings on a lot in the General Residential Zone</w:t>
      </w:r>
      <w:r w:rsidR="000A567B">
        <w:rPr>
          <w:i/>
        </w:rPr>
        <w:t>(GRZ3)</w:t>
      </w:r>
    </w:p>
    <w:p w14:paraId="1C798C46" w14:textId="77777777" w:rsidR="00B24E43" w:rsidRDefault="00B24E43" w:rsidP="001E5F05"/>
    <w:tbl>
      <w:tblPr>
        <w:tblW w:w="5000" w:type="pct"/>
        <w:tblLook w:val="0000" w:firstRow="0" w:lastRow="0" w:firstColumn="0" w:lastColumn="0" w:noHBand="0" w:noVBand="0"/>
      </w:tblPr>
      <w:tblGrid>
        <w:gridCol w:w="2976"/>
        <w:gridCol w:w="2552"/>
        <w:gridCol w:w="2977"/>
      </w:tblGrid>
      <w:tr w:rsidR="00B24E43" w14:paraId="6C7CF87C" w14:textId="77777777" w:rsidTr="008E2ED1">
        <w:tc>
          <w:tcPr>
            <w:tcW w:w="1750" w:type="pct"/>
          </w:tcPr>
          <w:p w14:paraId="7E07196A" w14:textId="77777777" w:rsidR="00B24E43" w:rsidRPr="00B876A2" w:rsidRDefault="00B24E43" w:rsidP="008E2ED1">
            <w:pPr>
              <w:rPr>
                <w:b/>
              </w:rPr>
            </w:pPr>
            <w:r>
              <w:rPr>
                <w:b/>
              </w:rPr>
              <w:t>Laurie Hewet</w:t>
            </w:r>
          </w:p>
          <w:p w14:paraId="7166FC5A" w14:textId="77777777" w:rsidR="00B24E43" w:rsidRDefault="00B24E43" w:rsidP="008E2ED1">
            <w:pPr>
              <w:tabs>
                <w:tab w:val="left" w:pos="1515"/>
              </w:tabs>
              <w:rPr>
                <w:b/>
              </w:rPr>
            </w:pPr>
            <w:r>
              <w:rPr>
                <w:b/>
              </w:rPr>
              <w:t>Senior Member</w:t>
            </w:r>
          </w:p>
        </w:tc>
        <w:tc>
          <w:tcPr>
            <w:tcW w:w="1500" w:type="pct"/>
          </w:tcPr>
          <w:p w14:paraId="16EC0AD9" w14:textId="77777777" w:rsidR="00B24E43" w:rsidRDefault="00B24E43" w:rsidP="008E2ED1"/>
        </w:tc>
        <w:tc>
          <w:tcPr>
            <w:tcW w:w="1750" w:type="pct"/>
          </w:tcPr>
          <w:p w14:paraId="7868EDF0" w14:textId="77777777" w:rsidR="00B24E43" w:rsidRDefault="00B24E43" w:rsidP="008E2ED1"/>
        </w:tc>
      </w:tr>
    </w:tbl>
    <w:p w14:paraId="4E60F785" w14:textId="37630E81" w:rsidR="00B24E43" w:rsidRDefault="005B31E3" w:rsidP="001E5F05">
      <w:pPr>
        <w:pStyle w:val="Heading1"/>
        <w:rPr>
          <w:highlight w:val="yellow"/>
        </w:rPr>
      </w:pPr>
      <w:r>
        <w:rPr>
          <w:noProof/>
        </w:rPr>
        <w:lastRenderedPageBreak/>
        <w:drawing>
          <wp:anchor distT="0" distB="0" distL="114300" distR="114300" simplePos="0" relativeHeight="251659264" behindDoc="1" locked="0" layoutInCell="1" allowOverlap="1" wp14:anchorId="6E3046DF" wp14:editId="7C727C1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24E43">
        <w:t>Appearances</w:t>
      </w:r>
    </w:p>
    <w:tbl>
      <w:tblPr>
        <w:tblW w:w="5000" w:type="pct"/>
        <w:tblLook w:val="0000" w:firstRow="0" w:lastRow="0" w:firstColumn="0" w:lastColumn="0" w:noHBand="0" w:noVBand="0"/>
      </w:tblPr>
      <w:tblGrid>
        <w:gridCol w:w="3261"/>
        <w:gridCol w:w="5244"/>
      </w:tblGrid>
      <w:tr w:rsidR="00B24E43" w14:paraId="4E1F2A1F" w14:textId="77777777" w:rsidTr="005B31E3">
        <w:trPr>
          <w:cantSplit/>
        </w:trPr>
        <w:tc>
          <w:tcPr>
            <w:tcW w:w="1917" w:type="pct"/>
          </w:tcPr>
          <w:p w14:paraId="790482A1" w14:textId="77777777" w:rsidR="00B24E43" w:rsidRDefault="00B24E43" w:rsidP="008E2ED1">
            <w:pPr>
              <w:pStyle w:val="TitlePagetext"/>
            </w:pPr>
            <w:r>
              <w:t>For applicant</w:t>
            </w:r>
          </w:p>
        </w:tc>
        <w:tc>
          <w:tcPr>
            <w:tcW w:w="3083" w:type="pct"/>
          </w:tcPr>
          <w:p w14:paraId="3D14481C" w14:textId="2B431B94" w:rsidR="00B24E43" w:rsidRDefault="008743ED" w:rsidP="008E2ED1">
            <w:pPr>
              <w:pStyle w:val="TitlePagetext"/>
            </w:pPr>
            <w:r>
              <w:t>Mr P Rygl, town planner</w:t>
            </w:r>
          </w:p>
        </w:tc>
      </w:tr>
      <w:tr w:rsidR="00B24E43" w14:paraId="0C8B3CE6" w14:textId="77777777" w:rsidTr="005B31E3">
        <w:trPr>
          <w:cantSplit/>
        </w:trPr>
        <w:tc>
          <w:tcPr>
            <w:tcW w:w="1917" w:type="pct"/>
          </w:tcPr>
          <w:p w14:paraId="1C9FB9D6" w14:textId="77777777" w:rsidR="00B24E43" w:rsidRDefault="00B24E43" w:rsidP="008E2ED1">
            <w:pPr>
              <w:pStyle w:val="TitlePagetext"/>
            </w:pPr>
            <w:r>
              <w:t>For responsible authority</w:t>
            </w:r>
          </w:p>
        </w:tc>
        <w:tc>
          <w:tcPr>
            <w:tcW w:w="3083" w:type="pct"/>
          </w:tcPr>
          <w:p w14:paraId="36A900AA" w14:textId="46F6DB54" w:rsidR="00B24E43" w:rsidRDefault="008743ED" w:rsidP="008E2ED1">
            <w:pPr>
              <w:pStyle w:val="TitlePagetext"/>
            </w:pPr>
            <w:r>
              <w:t>Mr J Turner, town planner</w:t>
            </w:r>
          </w:p>
        </w:tc>
      </w:tr>
    </w:tbl>
    <w:p w14:paraId="54ABED70" w14:textId="77777777" w:rsidR="00B24E43" w:rsidRPr="00303C52" w:rsidRDefault="00B24E43" w:rsidP="001E5F05"/>
    <w:p w14:paraId="19FD7827" w14:textId="65E2E05E" w:rsidR="00B24E43" w:rsidRDefault="00B24E43" w:rsidP="001E5F05"/>
    <w:p w14:paraId="2BF734CE" w14:textId="77777777" w:rsidR="00B24E43" w:rsidRDefault="00B24E43"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B24E43" w14:paraId="561C9441" w14:textId="77777777" w:rsidTr="008E2ED1">
        <w:trPr>
          <w:cantSplit/>
        </w:trPr>
        <w:tc>
          <w:tcPr>
            <w:tcW w:w="1924" w:type="pct"/>
          </w:tcPr>
          <w:p w14:paraId="45B184FF" w14:textId="77777777" w:rsidR="00B24E43" w:rsidRDefault="00B24E43" w:rsidP="008E2ED1">
            <w:pPr>
              <w:pStyle w:val="TitlePagetext"/>
            </w:pPr>
            <w:r>
              <w:t>Description of proposal</w:t>
            </w:r>
          </w:p>
        </w:tc>
        <w:tc>
          <w:tcPr>
            <w:tcW w:w="3076" w:type="pct"/>
          </w:tcPr>
          <w:p w14:paraId="46481363" w14:textId="6AB82B01" w:rsidR="00B24E43" w:rsidRPr="00851E10" w:rsidRDefault="00D85359" w:rsidP="008E2ED1">
            <w:pPr>
              <w:pStyle w:val="TitlePagetext"/>
            </w:pPr>
            <w:r>
              <w:t>Construction of three double storey dwellings</w:t>
            </w:r>
          </w:p>
        </w:tc>
      </w:tr>
      <w:tr w:rsidR="00B24E43" w14:paraId="5E3476BA" w14:textId="77777777" w:rsidTr="008E2ED1">
        <w:trPr>
          <w:cantSplit/>
        </w:trPr>
        <w:tc>
          <w:tcPr>
            <w:tcW w:w="1924" w:type="pct"/>
          </w:tcPr>
          <w:p w14:paraId="217072E8" w14:textId="77777777" w:rsidR="00B24E43" w:rsidRDefault="00B24E43" w:rsidP="008E2ED1">
            <w:pPr>
              <w:pStyle w:val="TitlePagetext"/>
            </w:pPr>
            <w:r>
              <w:t>Nature of proceeding</w:t>
            </w:r>
          </w:p>
        </w:tc>
        <w:tc>
          <w:tcPr>
            <w:tcW w:w="3076" w:type="pct"/>
          </w:tcPr>
          <w:p w14:paraId="71F4FA55" w14:textId="77777777" w:rsidR="00B24E43" w:rsidRPr="00851E10" w:rsidRDefault="00B24E43" w:rsidP="00B24E43">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B24E43" w14:paraId="53F670E4" w14:textId="77777777" w:rsidTr="008E2ED1">
        <w:trPr>
          <w:cantSplit/>
        </w:trPr>
        <w:tc>
          <w:tcPr>
            <w:tcW w:w="1924" w:type="pct"/>
          </w:tcPr>
          <w:p w14:paraId="1DBBB47C" w14:textId="77777777" w:rsidR="00B24E43" w:rsidRPr="005C699E" w:rsidRDefault="00B24E43" w:rsidP="008E2ED1">
            <w:pPr>
              <w:pStyle w:val="TitlePagetext"/>
            </w:pPr>
            <w:r>
              <w:t>Planning scheme</w:t>
            </w:r>
          </w:p>
        </w:tc>
        <w:tc>
          <w:tcPr>
            <w:tcW w:w="3076" w:type="pct"/>
          </w:tcPr>
          <w:p w14:paraId="4507B6A3" w14:textId="77777777" w:rsidR="00B24E43" w:rsidRPr="00851E10" w:rsidRDefault="00B24E43" w:rsidP="008E2ED1">
            <w:pPr>
              <w:pStyle w:val="TitlePagetext"/>
            </w:pPr>
            <w:r>
              <w:t>Monash Planning Scheme</w:t>
            </w:r>
          </w:p>
        </w:tc>
      </w:tr>
      <w:tr w:rsidR="00B24E43" w14:paraId="7493A4E8" w14:textId="77777777" w:rsidTr="008E2ED1">
        <w:trPr>
          <w:cantSplit/>
        </w:trPr>
        <w:tc>
          <w:tcPr>
            <w:tcW w:w="1924" w:type="pct"/>
          </w:tcPr>
          <w:p w14:paraId="3055C753" w14:textId="77777777" w:rsidR="00B24E43" w:rsidRDefault="00B24E43" w:rsidP="008E2ED1">
            <w:pPr>
              <w:pStyle w:val="TitlePagetext"/>
            </w:pPr>
            <w:r w:rsidRPr="005C699E">
              <w:t xml:space="preserve">Zone and </w:t>
            </w:r>
            <w:r>
              <w:t>o</w:t>
            </w:r>
            <w:r w:rsidRPr="005C699E">
              <w:t>verlays</w:t>
            </w:r>
          </w:p>
        </w:tc>
        <w:tc>
          <w:tcPr>
            <w:tcW w:w="3076" w:type="pct"/>
          </w:tcPr>
          <w:p w14:paraId="7F96D301" w14:textId="77777777" w:rsidR="00B24E43" w:rsidRDefault="00672E04" w:rsidP="008E2ED1">
            <w:pPr>
              <w:pStyle w:val="TitlePagetext"/>
            </w:pPr>
            <w:r>
              <w:t>Clause 32.08-6:  General Residential Zone (GRZ3)</w:t>
            </w:r>
          </w:p>
          <w:p w14:paraId="5CA6F8F9" w14:textId="315922FF" w:rsidR="005454EB" w:rsidRPr="005454EB" w:rsidRDefault="00D303EB" w:rsidP="005454EB">
            <w:pPr>
              <w:pStyle w:val="TitlePagetext"/>
              <w:rPr>
                <w:lang w:val="en-US"/>
              </w:rPr>
            </w:pPr>
            <w:r w:rsidRPr="00D303EB">
              <w:rPr>
                <w:lang w:val="en-US"/>
              </w:rPr>
              <w:t xml:space="preserve">Schedule 3 </w:t>
            </w:r>
            <w:r>
              <w:rPr>
                <w:lang w:val="en-US"/>
              </w:rPr>
              <w:t xml:space="preserve">to the zone </w:t>
            </w:r>
            <w:r w:rsidRPr="00D303EB">
              <w:rPr>
                <w:lang w:val="en-US"/>
              </w:rPr>
              <w:t>relates to Garden City Suburbs and includes variations to the standards of Clause 55 with respect to minimum street setback, site coverage, permeability, landscaping, side and rear setbacks, private open space and front fence height.</w:t>
            </w:r>
          </w:p>
          <w:p w14:paraId="65CC9597" w14:textId="41EBF9E5" w:rsidR="00672E04" w:rsidRPr="00851E10" w:rsidRDefault="005454EB" w:rsidP="00320C4B">
            <w:pPr>
              <w:pStyle w:val="TitlePagetext"/>
            </w:pPr>
            <w:r w:rsidRPr="005454EB">
              <w:rPr>
                <w:lang w:val="en-US"/>
              </w:rPr>
              <w:t>Neighbourhood character objectives</w:t>
            </w:r>
            <w:r>
              <w:rPr>
                <w:lang w:val="en-US"/>
              </w:rPr>
              <w:t xml:space="preserve"> </w:t>
            </w:r>
            <w:r w:rsidR="00320C4B">
              <w:rPr>
                <w:lang w:val="en-US"/>
              </w:rPr>
              <w:t xml:space="preserve">are </w:t>
            </w:r>
            <w:r w:rsidR="00320C4B" w:rsidRPr="005454EB">
              <w:rPr>
                <w:lang w:val="en-US"/>
              </w:rPr>
              <w:t>contained</w:t>
            </w:r>
            <w:r w:rsidRPr="005454EB">
              <w:rPr>
                <w:lang w:val="en-US"/>
              </w:rPr>
              <w:t xml:space="preserve"> within the schedule to the zone</w:t>
            </w:r>
            <w:r w:rsidR="00320C4B">
              <w:rPr>
                <w:lang w:val="en-US"/>
              </w:rPr>
              <w:t xml:space="preserve">.  </w:t>
            </w:r>
          </w:p>
        </w:tc>
      </w:tr>
      <w:tr w:rsidR="00B24E43" w14:paraId="3015BEE4" w14:textId="77777777" w:rsidTr="008E2ED1">
        <w:trPr>
          <w:cantSplit/>
        </w:trPr>
        <w:tc>
          <w:tcPr>
            <w:tcW w:w="1924" w:type="pct"/>
          </w:tcPr>
          <w:p w14:paraId="5F2A5D6D" w14:textId="77777777" w:rsidR="00B24E43" w:rsidRPr="005C699E" w:rsidRDefault="00B24E43" w:rsidP="008E2ED1">
            <w:pPr>
              <w:pStyle w:val="TitlePagetext"/>
            </w:pPr>
            <w:r>
              <w:t>Permit requirements</w:t>
            </w:r>
          </w:p>
        </w:tc>
        <w:tc>
          <w:tcPr>
            <w:tcW w:w="3076" w:type="pct"/>
          </w:tcPr>
          <w:p w14:paraId="774F1641" w14:textId="18E549BB" w:rsidR="00B24E43" w:rsidRPr="00D419CA" w:rsidRDefault="0050689C" w:rsidP="008A1FAC">
            <w:pPr>
              <w:widowControl w:val="0"/>
              <w:tabs>
                <w:tab w:val="left" w:pos="778"/>
                <w:tab w:val="left" w:pos="779"/>
              </w:tabs>
              <w:autoSpaceDE w:val="0"/>
              <w:autoSpaceDN w:val="0"/>
              <w:spacing w:before="80" w:after="100" w:line="357" w:lineRule="auto"/>
              <w:ind w:right="340"/>
            </w:pPr>
            <w:r>
              <w:t xml:space="preserve">Clause 32.08-6:  A permit is required to construct </w:t>
            </w:r>
            <w:r w:rsidR="00CB59EA">
              <w:t xml:space="preserve">two or more dwellings on a lot.  </w:t>
            </w:r>
          </w:p>
        </w:tc>
      </w:tr>
      <w:tr w:rsidR="00B24E43" w14:paraId="5FE66E49" w14:textId="77777777" w:rsidTr="008E2ED1">
        <w:trPr>
          <w:cantSplit/>
        </w:trPr>
        <w:tc>
          <w:tcPr>
            <w:tcW w:w="1924" w:type="pct"/>
          </w:tcPr>
          <w:p w14:paraId="2B063976" w14:textId="352E7704" w:rsidR="00B24E43" w:rsidRDefault="005B31E3" w:rsidP="008E2ED1">
            <w:pPr>
              <w:pStyle w:val="TitlePagetext"/>
            </w:pPr>
            <w:r>
              <w:rPr>
                <w:noProof/>
              </w:rPr>
              <w:lastRenderedPageBreak/>
              <w:drawing>
                <wp:anchor distT="0" distB="0" distL="114300" distR="114300" simplePos="0" relativeHeight="251660288" behindDoc="1" locked="0" layoutInCell="1" allowOverlap="1" wp14:anchorId="5298A66D" wp14:editId="1D2A0DA3">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24E43">
              <w:t>Land description</w:t>
            </w:r>
          </w:p>
        </w:tc>
        <w:tc>
          <w:tcPr>
            <w:tcW w:w="3076" w:type="pct"/>
          </w:tcPr>
          <w:p w14:paraId="26972DE8" w14:textId="39AF6B92" w:rsidR="00CA206B" w:rsidRDefault="00CA206B" w:rsidP="00CA206B">
            <w:pPr>
              <w:pStyle w:val="TitlePagetext"/>
            </w:pPr>
            <w:r>
              <w:t xml:space="preserve">The site is situated on a corner allotment on the western side of Bales Street and northern side of Oakern Street in the residential area of Mount Waverley. The land is a rectangular shaped allotment with a splay of 4.32 metres, a frontage of 13.715 metres, and a maximum depth of 43.52 metres, yielding </w:t>
            </w:r>
            <w:r w:rsidR="00C258A8">
              <w:t>an overall</w:t>
            </w:r>
            <w:r>
              <w:t xml:space="preserve"> site area  of  725 square metres. The site slopes approximately 3 metres from the south east corner to north west corner.</w:t>
            </w:r>
          </w:p>
          <w:p w14:paraId="688B85B1" w14:textId="77777777" w:rsidR="00B24E43" w:rsidRDefault="00CA206B" w:rsidP="00CA206B">
            <w:pPr>
              <w:pStyle w:val="TitlePagetext"/>
            </w:pPr>
            <w:r>
              <w:t>The site is occupied by a single storey weatherboard dwelling with a garage located at the rear. Access to the site is via an existing crossover adjacent to the southern side boundary on Oakern Street. There is a low brick retaining wall along the frontage including part of the side boundary that steps up to a 1.8 metre high side fence along the southern property boundary. The site contains some trees and shrubs. There are two street trees located within the nature strips, one on both street frontages.</w:t>
            </w:r>
          </w:p>
          <w:p w14:paraId="614A73CB" w14:textId="77777777" w:rsidR="00CA206B" w:rsidRDefault="00BC0CCD" w:rsidP="00CA206B">
            <w:pPr>
              <w:pStyle w:val="TitlePagetext"/>
            </w:pPr>
            <w:r>
              <w:t>The site has direct residential interfaces to the north</w:t>
            </w:r>
            <w:r w:rsidR="00C258A8">
              <w:t xml:space="preserve"> and west (rear).  </w:t>
            </w:r>
          </w:p>
          <w:p w14:paraId="2C09293C" w14:textId="77777777" w:rsidR="00BD34AF" w:rsidRDefault="00BD34AF" w:rsidP="00CA206B">
            <w:pPr>
              <w:pStyle w:val="TitlePagetext"/>
            </w:pPr>
            <w:r>
              <w:t xml:space="preserve">The site forms part of an established residential area comprising original post war </w:t>
            </w:r>
            <w:r w:rsidR="00184AE9">
              <w:t>single storey detached dwellings.  Medium density housing</w:t>
            </w:r>
            <w:r w:rsidR="00B37468">
              <w:t xml:space="preserve"> typically in the form of double storey town houses are increasingly becoming part of the character of the neighbourhood.  </w:t>
            </w:r>
          </w:p>
          <w:p w14:paraId="28D71FA9" w14:textId="209E75FA" w:rsidR="00B37468" w:rsidRPr="00851E10" w:rsidRDefault="00B37468" w:rsidP="00CA206B">
            <w:pPr>
              <w:pStyle w:val="TitlePagetext"/>
            </w:pPr>
            <w:r>
              <w:t xml:space="preserve">The site is </w:t>
            </w:r>
            <w:r w:rsidR="00897E94">
              <w:t xml:space="preserve">well located in policy terms and enjoys access to a </w:t>
            </w:r>
            <w:r w:rsidR="005B500E">
              <w:t>wide range</w:t>
            </w:r>
            <w:r w:rsidR="00897E94">
              <w:t xml:space="preserve"> of services and facilities. </w:t>
            </w:r>
          </w:p>
        </w:tc>
      </w:tr>
    </w:tbl>
    <w:p w14:paraId="3BC8343D" w14:textId="77777777" w:rsidR="00B24E43" w:rsidRDefault="00B24E43" w:rsidP="001E5F05">
      <w:pPr>
        <w:pStyle w:val="Order1"/>
      </w:pPr>
    </w:p>
    <w:p w14:paraId="0A88E0BB" w14:textId="1FFE2198" w:rsidR="00B24E43" w:rsidRDefault="00B24E43" w:rsidP="001E5F05">
      <w:pPr>
        <w:pStyle w:val="Heading1"/>
      </w:pPr>
      <w:r>
        <w:br w:type="page"/>
      </w:r>
      <w:r w:rsidR="005B31E3">
        <w:rPr>
          <w:noProof/>
        </w:rPr>
        <w:lastRenderedPageBreak/>
        <w:drawing>
          <wp:anchor distT="0" distB="0" distL="114300" distR="114300" simplePos="0" relativeHeight="251661312" behindDoc="1" locked="0" layoutInCell="1" allowOverlap="1" wp14:anchorId="735B8C5F" wp14:editId="24AF6839">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0220DDF" w14:textId="77777777" w:rsidR="00B24E43" w:rsidRDefault="00B24E43" w:rsidP="001E5F05"/>
    <w:p w14:paraId="69A69010" w14:textId="160D583E" w:rsidR="00DE571E" w:rsidRDefault="00DE571E" w:rsidP="00DE571E">
      <w:pPr>
        <w:pStyle w:val="Para1"/>
      </w:pPr>
      <w:r w:rsidRPr="00DE571E">
        <w:t xml:space="preserve">This is an application to review the </w:t>
      </w:r>
      <w:r w:rsidR="00BD5C83">
        <w:t xml:space="preserve">decision </w:t>
      </w:r>
      <w:r w:rsidRPr="00DE571E">
        <w:t xml:space="preserve">of the Responsible Authority to </w:t>
      </w:r>
      <w:r w:rsidR="00BD5C83">
        <w:t xml:space="preserve">refuse </w:t>
      </w:r>
      <w:r w:rsidRPr="00DE571E">
        <w:t xml:space="preserve">grant a permit for </w:t>
      </w:r>
      <w:r w:rsidR="00BD5C83">
        <w:t>the construction of thre</w:t>
      </w:r>
      <w:r w:rsidR="00A82E78">
        <w:t>e</w:t>
      </w:r>
      <w:r w:rsidR="00BD5C83">
        <w:t xml:space="preserve"> dwellings </w:t>
      </w:r>
      <w:r w:rsidR="008069C5">
        <w:t xml:space="preserve">at </w:t>
      </w:r>
      <w:r w:rsidR="00A82E78">
        <w:t xml:space="preserve">17 Bales Street, Mount Waverley.  </w:t>
      </w:r>
      <w:r w:rsidRPr="00DE571E">
        <w:t>The Responsible Authority refused permission for the following reasons:</w:t>
      </w:r>
    </w:p>
    <w:p w14:paraId="55566635" w14:textId="77777777" w:rsidR="00EB5980" w:rsidRPr="005B31E3" w:rsidRDefault="00EB5980" w:rsidP="005B31E3">
      <w:pPr>
        <w:pStyle w:val="Para5"/>
      </w:pPr>
      <w:r w:rsidRPr="005B31E3">
        <w:t>The proposal does not meet the objectives of Clause 15 Built Environment and Heritage, Clause 21.04 Residential Development and Clause 22.01 Residential Development and Character Policy as it fails to achieve architectural and urban design outcomes that positively contribute to the neighbourhood character in terms of building bulk, scale and massing, maintain and respect the character of the area including the garden city character and preferred future character for the area.</w:t>
      </w:r>
    </w:p>
    <w:p w14:paraId="6E9BF4E4" w14:textId="4D3B54E7" w:rsidR="00EB5980" w:rsidRPr="005B31E3" w:rsidRDefault="00EB5980" w:rsidP="005B31E3">
      <w:pPr>
        <w:pStyle w:val="Para5"/>
      </w:pPr>
      <w:r w:rsidRPr="005B31E3">
        <w:t xml:space="preserve">The proposal does not adequately satisfy the objectives and design standards of Clause 55 of the Monash Planning Scheme with respect to neighbourhood character, residential policy, setbacks, landscaping, private open </w:t>
      </w:r>
      <w:r w:rsidR="00DB11E4" w:rsidRPr="005B31E3">
        <w:t>space provision</w:t>
      </w:r>
      <w:r w:rsidRPr="005B31E3">
        <w:t xml:space="preserve"> and design detail.</w:t>
      </w:r>
    </w:p>
    <w:p w14:paraId="700EAF68" w14:textId="21B9C986" w:rsidR="00EB5980" w:rsidRPr="005B31E3" w:rsidRDefault="00EB5980" w:rsidP="005B31E3">
      <w:pPr>
        <w:pStyle w:val="Para5"/>
      </w:pPr>
      <w:r w:rsidRPr="005B31E3">
        <w:t xml:space="preserve">The proposal does not meet the design </w:t>
      </w:r>
      <w:r w:rsidR="00DB11E4" w:rsidRPr="005B31E3">
        <w:t>standards of</w:t>
      </w:r>
      <w:r w:rsidRPr="005B31E3">
        <w:t xml:space="preserve"> Clause 52.06 Car Parking of the Monash Planning Scheme in relation to the car parking design.</w:t>
      </w:r>
    </w:p>
    <w:p w14:paraId="7E6C2E3A" w14:textId="77777777" w:rsidR="00EB5980" w:rsidRPr="005B31E3" w:rsidRDefault="00EB5980" w:rsidP="005B31E3">
      <w:pPr>
        <w:pStyle w:val="Para5"/>
      </w:pPr>
      <w:r w:rsidRPr="005B31E3">
        <w:t>The proposed development would adversely affect the landscape character of the area.</w:t>
      </w:r>
    </w:p>
    <w:p w14:paraId="1736543E" w14:textId="11B5C523" w:rsidR="00EB5980" w:rsidRPr="005B31E3" w:rsidRDefault="00EB5980" w:rsidP="005B31E3">
      <w:pPr>
        <w:pStyle w:val="Para5"/>
      </w:pPr>
      <w:r w:rsidRPr="005B31E3">
        <w:t xml:space="preserve">The proposed development is not appropriate for the locality </w:t>
      </w:r>
      <w:r w:rsidR="00DB11E4" w:rsidRPr="005B31E3">
        <w:t>in regard to</w:t>
      </w:r>
      <w:r w:rsidRPr="005B31E3">
        <w:t xml:space="preserve"> its adverse impact on the streetscape, adjoining properties and general neighbourhood character.</w:t>
      </w:r>
    </w:p>
    <w:p w14:paraId="1A4A9B07" w14:textId="77777777" w:rsidR="00EB5980" w:rsidRPr="005B31E3" w:rsidRDefault="00EB5980" w:rsidP="005B31E3">
      <w:pPr>
        <w:pStyle w:val="Para5"/>
      </w:pPr>
      <w:r w:rsidRPr="005B31E3">
        <w:t>The proposed development is considered a poor design outcome for the site.</w:t>
      </w:r>
    </w:p>
    <w:p w14:paraId="757AF6BB" w14:textId="29A82DFB" w:rsidR="00B24E43" w:rsidRDefault="00E06E3E" w:rsidP="00EB5980">
      <w:pPr>
        <w:pStyle w:val="Para1"/>
      </w:pPr>
      <w:r>
        <w:t xml:space="preserve">The applicant for review circulated amended plans prior to the hearing </w:t>
      </w:r>
      <w:r w:rsidR="00217C6D">
        <w:t>and these were substituted for the application plans at the start of the hearing.</w:t>
      </w:r>
    </w:p>
    <w:p w14:paraId="33F8B6C6" w14:textId="02B47A73" w:rsidR="00217C6D" w:rsidRDefault="00217C6D" w:rsidP="00EB5980">
      <w:pPr>
        <w:pStyle w:val="Para1"/>
      </w:pPr>
      <w:r>
        <w:t xml:space="preserve">In response to the receipt of the amended plans, the Responsible Authority </w:t>
      </w:r>
      <w:r w:rsidR="00A12795">
        <w:t xml:space="preserve">advised that it would not pursue ground of refusal 3 and </w:t>
      </w:r>
      <w:r w:rsidR="00DB11E4">
        <w:t xml:space="preserve">part of ground of refusal 2 relating to the private open space provision.  </w:t>
      </w:r>
    </w:p>
    <w:p w14:paraId="12A746A1" w14:textId="4D71E2C6" w:rsidR="00E06E3E" w:rsidRDefault="00DB11E4" w:rsidP="00EB5980">
      <w:pPr>
        <w:pStyle w:val="Para1"/>
      </w:pPr>
      <w:r>
        <w:t xml:space="preserve">At the end of the hearing I gave oral reasons for my decision to grant a permit.  </w:t>
      </w:r>
    </w:p>
    <w:p w14:paraId="71459D77" w14:textId="77777777" w:rsidR="00B24E43" w:rsidRDefault="00B24E43" w:rsidP="001E5F05"/>
    <w:p w14:paraId="16B6C183" w14:textId="77777777" w:rsidR="00B24E43" w:rsidRDefault="00B24E43" w:rsidP="001E5F05"/>
    <w:tbl>
      <w:tblPr>
        <w:tblW w:w="5000" w:type="pct"/>
        <w:tblLook w:val="0000" w:firstRow="0" w:lastRow="0" w:firstColumn="0" w:lastColumn="0" w:noHBand="0" w:noVBand="0"/>
      </w:tblPr>
      <w:tblGrid>
        <w:gridCol w:w="2976"/>
        <w:gridCol w:w="2552"/>
        <w:gridCol w:w="2977"/>
      </w:tblGrid>
      <w:tr w:rsidR="00B24E43" w14:paraId="6AE35B3F" w14:textId="77777777" w:rsidTr="008E2ED1">
        <w:tc>
          <w:tcPr>
            <w:tcW w:w="1750" w:type="pct"/>
          </w:tcPr>
          <w:p w14:paraId="7C2A8BFD" w14:textId="77777777" w:rsidR="00B24E43" w:rsidRPr="00B876A2" w:rsidRDefault="00B24E43" w:rsidP="008E2ED1">
            <w:pPr>
              <w:rPr>
                <w:b/>
              </w:rPr>
            </w:pPr>
            <w:r>
              <w:rPr>
                <w:b/>
              </w:rPr>
              <w:t>Laurie Hewet</w:t>
            </w:r>
          </w:p>
          <w:p w14:paraId="07495B1B" w14:textId="77777777" w:rsidR="00B24E43" w:rsidRDefault="00B24E43" w:rsidP="008E2ED1">
            <w:pPr>
              <w:tabs>
                <w:tab w:val="left" w:pos="1515"/>
              </w:tabs>
              <w:rPr>
                <w:b/>
              </w:rPr>
            </w:pPr>
            <w:r>
              <w:rPr>
                <w:b/>
              </w:rPr>
              <w:t>Senior Member</w:t>
            </w:r>
          </w:p>
        </w:tc>
        <w:tc>
          <w:tcPr>
            <w:tcW w:w="1500" w:type="pct"/>
          </w:tcPr>
          <w:p w14:paraId="2438C765" w14:textId="77777777" w:rsidR="00B24E43" w:rsidRDefault="00B24E43" w:rsidP="008E2ED1"/>
        </w:tc>
        <w:tc>
          <w:tcPr>
            <w:tcW w:w="1750" w:type="pct"/>
          </w:tcPr>
          <w:p w14:paraId="31462417" w14:textId="77777777" w:rsidR="00B24E43" w:rsidRDefault="00B24E43" w:rsidP="008E2ED1"/>
        </w:tc>
      </w:tr>
    </w:tbl>
    <w:p w14:paraId="36253B36" w14:textId="7FA53D8D" w:rsidR="00B24E43" w:rsidRDefault="005B31E3" w:rsidP="001E5F05">
      <w:pPr>
        <w:pStyle w:val="Heading1"/>
      </w:pPr>
      <w:r>
        <w:rPr>
          <w:noProof/>
        </w:rPr>
        <w:lastRenderedPageBreak/>
        <w:drawing>
          <wp:anchor distT="0" distB="0" distL="114300" distR="114300" simplePos="0" relativeHeight="251662336" behindDoc="1" locked="0" layoutInCell="1" allowOverlap="1" wp14:anchorId="01374BA1" wp14:editId="6C88133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24E43">
        <w:t>Appendix A – Permit Conditions</w:t>
      </w:r>
    </w:p>
    <w:p w14:paraId="4D5D56DD" w14:textId="77777777" w:rsidR="00B24E43" w:rsidRDefault="00B24E43"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B24E43" w14:paraId="22A26BEF"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10DA4ABC" w14:textId="77777777" w:rsidR="00B24E43" w:rsidRDefault="00B24E43"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2171B7BC" w14:textId="77777777" w:rsidR="00B24E43" w:rsidRDefault="00B24E43" w:rsidP="008E2ED1">
            <w:pPr>
              <w:pStyle w:val="TitlePagetext"/>
            </w:pPr>
            <w:r w:rsidRPr="00B24E43">
              <w:t>TPA/50800</w:t>
            </w:r>
          </w:p>
        </w:tc>
      </w:tr>
      <w:tr w:rsidR="00B24E43" w14:paraId="66B96FE6"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4C1371FC" w14:textId="77777777" w:rsidR="00B24E43" w:rsidRDefault="00B24E43"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2108B94D" w14:textId="77777777" w:rsidR="00B24E43" w:rsidRDefault="00B24E43" w:rsidP="008E2ED1">
            <w:pPr>
              <w:pStyle w:val="TitlePagetext"/>
            </w:pPr>
            <w:r w:rsidRPr="00316358">
              <w:rPr>
                <w:noProof/>
              </w:rPr>
              <w:t>17 Bales Street</w:t>
            </w:r>
            <w:r>
              <w:rPr>
                <w:noProof/>
              </w:rPr>
              <w:br/>
            </w:r>
            <w:r w:rsidRPr="00316358">
              <w:rPr>
                <w:noProof/>
              </w:rPr>
              <w:t>MOUNT WAVERLEY  VIC  3149</w:t>
            </w:r>
          </w:p>
        </w:tc>
      </w:tr>
    </w:tbl>
    <w:p w14:paraId="7306BBD8" w14:textId="77777777" w:rsidR="00B24E43" w:rsidRDefault="00B24E43"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24E43" w14:paraId="01DCA908" w14:textId="77777777" w:rsidTr="008E2ED1">
        <w:tc>
          <w:tcPr>
            <w:tcW w:w="8505" w:type="dxa"/>
            <w:tcBorders>
              <w:top w:val="single" w:sz="4" w:space="0" w:color="auto"/>
              <w:left w:val="single" w:sz="4" w:space="0" w:color="auto"/>
              <w:bottom w:val="nil"/>
              <w:right w:val="single" w:sz="4" w:space="0" w:color="auto"/>
            </w:tcBorders>
            <w:hideMark/>
          </w:tcPr>
          <w:p w14:paraId="64613FE2" w14:textId="77777777" w:rsidR="00B24E43" w:rsidRDefault="00B24E43" w:rsidP="008E2ED1">
            <w:pPr>
              <w:pStyle w:val="TitlePage2"/>
              <w:jc w:val="center"/>
              <w:rPr>
                <w:bCs/>
              </w:rPr>
            </w:pPr>
            <w:r>
              <w:rPr>
                <w:bCs/>
              </w:rPr>
              <w:t>What the permit allows</w:t>
            </w:r>
          </w:p>
        </w:tc>
      </w:tr>
      <w:tr w:rsidR="00B24E43" w14:paraId="37F60A2F" w14:textId="77777777" w:rsidTr="008E2ED1">
        <w:tc>
          <w:tcPr>
            <w:tcW w:w="8505" w:type="dxa"/>
            <w:tcBorders>
              <w:top w:val="nil"/>
              <w:left w:val="single" w:sz="4" w:space="0" w:color="auto"/>
              <w:bottom w:val="single" w:sz="4" w:space="0" w:color="auto"/>
              <w:right w:val="single" w:sz="4" w:space="0" w:color="auto"/>
            </w:tcBorders>
            <w:hideMark/>
          </w:tcPr>
          <w:p w14:paraId="094D48EA" w14:textId="77777777" w:rsidR="00B24E43" w:rsidRDefault="00B24E43" w:rsidP="008E2ED1">
            <w:pPr>
              <w:pStyle w:val="Order1"/>
            </w:pPr>
            <w:r>
              <w:t>In accordance with the endorsed plans:</w:t>
            </w:r>
          </w:p>
          <w:p w14:paraId="15DF5384" w14:textId="77777777" w:rsidR="00AE46A6" w:rsidRPr="007007CB" w:rsidRDefault="00AE46A6" w:rsidP="00AE46A6">
            <w:pPr>
              <w:pStyle w:val="Order2"/>
              <w:numPr>
                <w:ilvl w:val="1"/>
                <w:numId w:val="8"/>
              </w:numPr>
              <w:rPr>
                <w:i/>
              </w:rPr>
            </w:pPr>
            <w:r w:rsidRPr="007007CB">
              <w:rPr>
                <w:i/>
              </w:rPr>
              <w:t>Development of two or more dwellings on a lot in the General Residential Zone</w:t>
            </w:r>
            <w:r>
              <w:rPr>
                <w:i/>
              </w:rPr>
              <w:t>(GRZ3)</w:t>
            </w:r>
          </w:p>
          <w:p w14:paraId="2536876C" w14:textId="6BBCE184" w:rsidR="00B24E43" w:rsidRDefault="00B24E43" w:rsidP="00AE46A6">
            <w:pPr>
              <w:pStyle w:val="Para5"/>
              <w:numPr>
                <w:ilvl w:val="0"/>
                <w:numId w:val="0"/>
              </w:numPr>
              <w:ind w:left="1134"/>
              <w:rPr>
                <w:highlight w:val="yellow"/>
              </w:rPr>
            </w:pPr>
          </w:p>
        </w:tc>
      </w:tr>
    </w:tbl>
    <w:p w14:paraId="74F17FA4" w14:textId="77777777" w:rsidR="00B24E43" w:rsidRDefault="00B24E43" w:rsidP="001E5F05"/>
    <w:p w14:paraId="6FBABD39" w14:textId="77777777" w:rsidR="00B24E43" w:rsidRDefault="00B24E43" w:rsidP="001E5F05">
      <w:pPr>
        <w:pStyle w:val="Heading2"/>
      </w:pPr>
      <w:r>
        <w:t>Conditions:</w:t>
      </w:r>
    </w:p>
    <w:p w14:paraId="49F7C997" w14:textId="258B50E4" w:rsidR="008E229A" w:rsidRPr="00D84FC5" w:rsidRDefault="008E229A" w:rsidP="005B31E3">
      <w:pPr>
        <w:pStyle w:val="Heading3"/>
      </w:pPr>
      <w:r w:rsidRPr="00D84FC5">
        <w:t>Amended Plans</w:t>
      </w:r>
    </w:p>
    <w:p w14:paraId="345DC9BE" w14:textId="77777777" w:rsidR="008E229A" w:rsidRPr="008E229A" w:rsidRDefault="008E229A" w:rsidP="008E229A">
      <w:pPr>
        <w:pStyle w:val="ListParagraph"/>
        <w:widowControl/>
        <w:numPr>
          <w:ilvl w:val="0"/>
          <w:numId w:val="22"/>
        </w:numPr>
        <w:autoSpaceDE/>
        <w:autoSpaceDN/>
        <w:rPr>
          <w:sz w:val="26"/>
          <w:szCs w:val="26"/>
        </w:rPr>
      </w:pPr>
      <w:r w:rsidRPr="008E229A">
        <w:rPr>
          <w:sz w:val="26"/>
          <w:szCs w:val="26"/>
        </w:rPr>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application but modified to show:</w:t>
      </w:r>
    </w:p>
    <w:p w14:paraId="0D1156BE" w14:textId="77777777" w:rsidR="008E229A" w:rsidRPr="008E229A" w:rsidRDefault="008E229A" w:rsidP="008E229A">
      <w:pPr>
        <w:pStyle w:val="other"/>
        <w:numPr>
          <w:ilvl w:val="0"/>
          <w:numId w:val="23"/>
        </w:numPr>
        <w:spacing w:before="120"/>
        <w:ind w:left="1276" w:hanging="709"/>
        <w:jc w:val="both"/>
        <w:rPr>
          <w:sz w:val="26"/>
          <w:szCs w:val="26"/>
        </w:rPr>
      </w:pPr>
      <w:r w:rsidRPr="008E229A">
        <w:rPr>
          <w:sz w:val="26"/>
          <w:szCs w:val="26"/>
        </w:rPr>
        <w:t xml:space="preserve">A notation that the street trees and adjoining trees are to be protected in accordance with the Arborist Report </w:t>
      </w:r>
      <w:r w:rsidRPr="008E229A">
        <w:rPr>
          <w:sz w:val="26"/>
          <w:szCs w:val="26"/>
          <w:lang w:eastAsia="en-AU"/>
        </w:rPr>
        <w:t>prepared by Peter Yau from PSY Inv Pty Ltd dated 22 August 2019.</w:t>
      </w:r>
    </w:p>
    <w:p w14:paraId="4F137E08" w14:textId="77777777" w:rsidR="008E229A" w:rsidRPr="008E229A" w:rsidRDefault="008E229A" w:rsidP="008E229A">
      <w:pPr>
        <w:pStyle w:val="other"/>
        <w:numPr>
          <w:ilvl w:val="0"/>
          <w:numId w:val="23"/>
        </w:numPr>
        <w:spacing w:before="120"/>
        <w:ind w:left="1276" w:hanging="709"/>
        <w:jc w:val="both"/>
        <w:rPr>
          <w:sz w:val="26"/>
          <w:szCs w:val="26"/>
        </w:rPr>
      </w:pPr>
      <w:r w:rsidRPr="008E229A">
        <w:rPr>
          <w:sz w:val="26"/>
          <w:szCs w:val="26"/>
          <w:lang w:eastAsia="en-AU"/>
        </w:rPr>
        <w:t>The obscured glazed windows on the northern elevation to be ‘fixed non openable obscure glazing (not film) to 1.7 metres above finished floor level’.</w:t>
      </w:r>
    </w:p>
    <w:p w14:paraId="39D6E807" w14:textId="77777777" w:rsidR="008E229A" w:rsidRPr="008E229A" w:rsidRDefault="008E229A" w:rsidP="008E229A">
      <w:pPr>
        <w:pStyle w:val="other"/>
        <w:numPr>
          <w:ilvl w:val="0"/>
          <w:numId w:val="23"/>
        </w:numPr>
        <w:spacing w:before="120"/>
        <w:ind w:left="1276" w:hanging="709"/>
        <w:jc w:val="both"/>
        <w:rPr>
          <w:sz w:val="26"/>
          <w:szCs w:val="26"/>
        </w:rPr>
      </w:pPr>
      <w:r w:rsidRPr="008E229A">
        <w:rPr>
          <w:color w:val="000000"/>
          <w:sz w:val="26"/>
          <w:szCs w:val="26"/>
        </w:rPr>
        <w:t xml:space="preserve">The northern common boundary fence notation corrected on the north </w:t>
      </w:r>
      <w:r w:rsidRPr="008E229A">
        <w:rPr>
          <w:sz w:val="26"/>
          <w:szCs w:val="26"/>
        </w:rPr>
        <w:t>elevation.</w:t>
      </w:r>
    </w:p>
    <w:p w14:paraId="04901655" w14:textId="77777777" w:rsidR="008E229A" w:rsidRPr="008E229A" w:rsidRDefault="008E229A" w:rsidP="008E229A">
      <w:pPr>
        <w:pStyle w:val="other"/>
        <w:numPr>
          <w:ilvl w:val="0"/>
          <w:numId w:val="23"/>
        </w:numPr>
        <w:spacing w:before="120"/>
        <w:ind w:left="1276" w:hanging="709"/>
        <w:jc w:val="both"/>
        <w:rPr>
          <w:sz w:val="26"/>
          <w:szCs w:val="26"/>
        </w:rPr>
      </w:pPr>
      <w:r w:rsidRPr="008E229A">
        <w:rPr>
          <w:sz w:val="26"/>
          <w:szCs w:val="26"/>
        </w:rPr>
        <w:t>The location and design of any proposed electricity supply meter boxes. The electricity supply meter boxes must be located at or behind the facade of buildings on the site.</w:t>
      </w:r>
    </w:p>
    <w:p w14:paraId="26B580CA" w14:textId="77777777" w:rsidR="008E229A" w:rsidRPr="008E229A" w:rsidRDefault="008E229A" w:rsidP="008E229A">
      <w:pPr>
        <w:pStyle w:val="other"/>
        <w:spacing w:before="120"/>
        <w:ind w:left="567"/>
        <w:jc w:val="both"/>
        <w:rPr>
          <w:sz w:val="26"/>
          <w:szCs w:val="26"/>
        </w:rPr>
      </w:pPr>
      <w:r w:rsidRPr="008E229A">
        <w:rPr>
          <w:sz w:val="26"/>
          <w:szCs w:val="26"/>
          <w:lang w:eastAsia="en-AU"/>
        </w:rPr>
        <w:t>All to the satisfaction of the Responsible Authority.</w:t>
      </w:r>
    </w:p>
    <w:p w14:paraId="4150226D" w14:textId="77777777" w:rsidR="008E229A" w:rsidRPr="005B31E3" w:rsidRDefault="008E229A" w:rsidP="005B31E3">
      <w:pPr>
        <w:pStyle w:val="Heading3"/>
      </w:pPr>
      <w:r w:rsidRPr="005B31E3">
        <w:t>No Alteration or Changes</w:t>
      </w:r>
    </w:p>
    <w:p w14:paraId="1948F8C4" w14:textId="77777777" w:rsidR="008E229A" w:rsidRPr="008E229A" w:rsidRDefault="008E229A" w:rsidP="008E229A">
      <w:pPr>
        <w:pStyle w:val="BodyText"/>
        <w:numPr>
          <w:ilvl w:val="1"/>
          <w:numId w:val="24"/>
        </w:numPr>
        <w:jc w:val="both"/>
        <w:rPr>
          <w:color w:val="000000"/>
          <w:sz w:val="26"/>
          <w:szCs w:val="26"/>
        </w:rPr>
      </w:pPr>
      <w:r w:rsidRPr="008E229A">
        <w:rPr>
          <w:sz w:val="26"/>
          <w:szCs w:val="26"/>
        </w:rPr>
        <w:t>The development as shown on the endorsed plans must not be altered without the prior written consent of the Responsible Authority.</w:t>
      </w:r>
    </w:p>
    <w:p w14:paraId="7C6C6520" w14:textId="33AD0706" w:rsidR="008E229A" w:rsidRPr="008E229A" w:rsidRDefault="008E229A" w:rsidP="005B31E3">
      <w:pPr>
        <w:pStyle w:val="Heading3"/>
      </w:pPr>
      <w:r w:rsidRPr="008E229A">
        <w:t>Common Boundary Fences</w:t>
      </w:r>
    </w:p>
    <w:p w14:paraId="2729C613" w14:textId="4AA4DD11" w:rsidR="008E229A" w:rsidRPr="008E229A" w:rsidRDefault="008E229A" w:rsidP="008E229A">
      <w:pPr>
        <w:pStyle w:val="BodyText"/>
        <w:numPr>
          <w:ilvl w:val="1"/>
          <w:numId w:val="24"/>
        </w:numPr>
        <w:jc w:val="both"/>
        <w:rPr>
          <w:sz w:val="26"/>
          <w:szCs w:val="26"/>
        </w:rPr>
      </w:pPr>
      <w:r w:rsidRPr="008E229A">
        <w:rPr>
          <w:sz w:val="26"/>
          <w:szCs w:val="26"/>
        </w:rPr>
        <w:t xml:space="preserve">All common boundary fences are to be a minimum of 1.8 metres above the finished ground level to the satisfaction of the Responsible Authority.  The </w:t>
      </w:r>
      <w:r w:rsidR="005B31E3">
        <w:rPr>
          <w:noProof/>
          <w:sz w:val="26"/>
          <w:szCs w:val="26"/>
        </w:rPr>
        <w:lastRenderedPageBreak/>
        <w:drawing>
          <wp:anchor distT="0" distB="0" distL="114300" distR="114300" simplePos="0" relativeHeight="251663360" behindDoc="1" locked="0" layoutInCell="1" allowOverlap="1" wp14:anchorId="31C1AD4B" wp14:editId="0E1AF34D">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8E229A">
        <w:rPr>
          <w:sz w:val="26"/>
          <w:szCs w:val="26"/>
        </w:rPr>
        <w:t>fence heights must be measured above the highest point on the subject or adjoining site, within 3 metres of the fence line.</w:t>
      </w:r>
    </w:p>
    <w:p w14:paraId="0FBA4A75" w14:textId="77777777" w:rsidR="008E229A" w:rsidRPr="005B31E3" w:rsidRDefault="008E229A" w:rsidP="005B31E3">
      <w:pPr>
        <w:pStyle w:val="Heading3"/>
      </w:pPr>
      <w:r w:rsidRPr="008E229A">
        <w:t>Landscaping</w:t>
      </w:r>
    </w:p>
    <w:p w14:paraId="09885B5A" w14:textId="77777777" w:rsidR="008E229A" w:rsidRPr="008E229A" w:rsidRDefault="008E229A" w:rsidP="008E229A">
      <w:pPr>
        <w:pStyle w:val="BodyText"/>
        <w:numPr>
          <w:ilvl w:val="1"/>
          <w:numId w:val="24"/>
        </w:numPr>
        <w:jc w:val="both"/>
        <w:rPr>
          <w:sz w:val="26"/>
          <w:szCs w:val="26"/>
        </w:rPr>
      </w:pPr>
      <w:r w:rsidRPr="008E229A">
        <w:rPr>
          <w:sz w:val="26"/>
          <w:szCs w:val="26"/>
        </w:rPr>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4F253AF9"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the location of all existing trees and other vegetation to be retained on site</w:t>
      </w:r>
    </w:p>
    <w:p w14:paraId="625453E6"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provision of canopy trees with spreading crowns located throughout the site including the major open space areas of the development</w:t>
      </w:r>
    </w:p>
    <w:p w14:paraId="5823788B"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planting to soften the appearance of hard surface areas such as driveways and other paved areas</w:t>
      </w:r>
    </w:p>
    <w:p w14:paraId="63D44C1A"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a schedule of all proposed trees, shrubs and ground cover, which will include the size of all plants (at planting and at maturity), their location, botanical names and the location of all areas to be covered by grass, lawn, mulch or other surface material</w:t>
      </w:r>
    </w:p>
    <w:p w14:paraId="627878F4"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the location and details of all fencing</w:t>
      </w:r>
    </w:p>
    <w:p w14:paraId="42C51DFA"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the extent of any cut, fill, embankments or retaining walls associated with the landscape treatment of the site</w:t>
      </w:r>
    </w:p>
    <w:p w14:paraId="1F1BEAE5" w14:textId="77777777" w:rsidR="008E229A" w:rsidRPr="008E229A" w:rsidRDefault="008E229A" w:rsidP="008E229A">
      <w:pPr>
        <w:pStyle w:val="other"/>
        <w:numPr>
          <w:ilvl w:val="0"/>
          <w:numId w:val="25"/>
        </w:numPr>
        <w:tabs>
          <w:tab w:val="clear" w:pos="720"/>
          <w:tab w:val="num" w:pos="1287"/>
        </w:tabs>
        <w:spacing w:before="120"/>
        <w:ind w:left="1287"/>
        <w:jc w:val="both"/>
        <w:rPr>
          <w:sz w:val="26"/>
          <w:szCs w:val="26"/>
        </w:rPr>
      </w:pPr>
      <w:r w:rsidRPr="008E229A">
        <w:rPr>
          <w:sz w:val="26"/>
          <w:szCs w:val="26"/>
        </w:rPr>
        <w:t>details of all proposed hard surface materials including pathways, patio or decked areas</w:t>
      </w:r>
    </w:p>
    <w:p w14:paraId="0D0F1C53" w14:textId="77777777" w:rsidR="008E229A" w:rsidRPr="008E229A" w:rsidRDefault="008E229A" w:rsidP="008E229A">
      <w:pPr>
        <w:pStyle w:val="other"/>
        <w:ind w:left="567"/>
        <w:jc w:val="both"/>
        <w:rPr>
          <w:sz w:val="26"/>
          <w:szCs w:val="26"/>
        </w:rPr>
      </w:pPr>
    </w:p>
    <w:p w14:paraId="17BE5A6C" w14:textId="77777777" w:rsidR="008E229A" w:rsidRPr="008E229A" w:rsidRDefault="008E229A" w:rsidP="008E229A">
      <w:pPr>
        <w:pStyle w:val="other"/>
        <w:ind w:left="567"/>
        <w:jc w:val="both"/>
        <w:rPr>
          <w:sz w:val="26"/>
          <w:szCs w:val="26"/>
        </w:rPr>
      </w:pPr>
      <w:r w:rsidRPr="008E229A">
        <w:rPr>
          <w:sz w:val="26"/>
          <w:szCs w:val="26"/>
        </w:rPr>
        <w:t>When approved the plan will be endorsed and will then form part of the permit.</w:t>
      </w:r>
    </w:p>
    <w:p w14:paraId="10C57F8B" w14:textId="77777777" w:rsidR="008E229A" w:rsidRPr="005B31E3" w:rsidRDefault="008E229A" w:rsidP="005B31E3">
      <w:pPr>
        <w:pStyle w:val="Heading3"/>
      </w:pPr>
      <w:r w:rsidRPr="005B31E3">
        <w:t>Tree Protection</w:t>
      </w:r>
    </w:p>
    <w:p w14:paraId="2BD91D26" w14:textId="77777777" w:rsidR="008E229A" w:rsidRPr="008E229A" w:rsidRDefault="008E229A" w:rsidP="008E229A">
      <w:pPr>
        <w:tabs>
          <w:tab w:val="left" w:pos="0"/>
        </w:tabs>
        <w:autoSpaceDE w:val="0"/>
        <w:autoSpaceDN w:val="0"/>
        <w:adjustRightInd w:val="0"/>
        <w:ind w:left="720" w:hanging="720"/>
        <w:jc w:val="both"/>
        <w:rPr>
          <w:rFonts w:eastAsiaTheme="minorHAnsi"/>
        </w:rPr>
      </w:pPr>
      <w:r w:rsidRPr="008E229A">
        <w:rPr>
          <w:rFonts w:eastAsiaTheme="minorHAnsi"/>
        </w:rPr>
        <w:t>5.</w:t>
      </w:r>
      <w:r w:rsidRPr="008E229A">
        <w:rPr>
          <w:rFonts w:eastAsiaTheme="minorHAnsi"/>
        </w:rPr>
        <w:tab/>
        <w:t>Prior to the commencement of any works that are permitted by this permit, all trees that are to be retained, or are located within or adjacent to any works area, shall be marked and provided with a protective barricade.</w:t>
      </w:r>
    </w:p>
    <w:p w14:paraId="433FF579" w14:textId="77777777" w:rsidR="008E229A" w:rsidRPr="008E229A" w:rsidRDefault="008E229A" w:rsidP="008E229A">
      <w:pPr>
        <w:autoSpaceDE w:val="0"/>
        <w:autoSpaceDN w:val="0"/>
        <w:adjustRightInd w:val="0"/>
        <w:jc w:val="both"/>
        <w:rPr>
          <w:rFonts w:eastAsiaTheme="minorHAnsi"/>
        </w:rPr>
      </w:pPr>
    </w:p>
    <w:p w14:paraId="07B9056B" w14:textId="77777777" w:rsidR="008E229A" w:rsidRPr="008E229A" w:rsidRDefault="008E229A" w:rsidP="008E229A">
      <w:pPr>
        <w:tabs>
          <w:tab w:val="left" w:pos="0"/>
        </w:tabs>
        <w:autoSpaceDE w:val="0"/>
        <w:autoSpaceDN w:val="0"/>
        <w:adjustRightInd w:val="0"/>
        <w:ind w:left="720" w:hanging="720"/>
        <w:jc w:val="both"/>
        <w:rPr>
          <w:rFonts w:eastAsiaTheme="minorHAnsi"/>
        </w:rPr>
      </w:pPr>
      <w:r w:rsidRPr="008E229A">
        <w:rPr>
          <w:rFonts w:eastAsiaTheme="minorHAnsi"/>
        </w:rPr>
        <w:t>6.</w:t>
      </w:r>
      <w:r w:rsidRPr="008E229A">
        <w:rPr>
          <w:rFonts w:eastAsiaTheme="minorHAnsi"/>
        </w:rPr>
        <w:tab/>
        <w:t>No building material, demolition material or earthworks shall be stored or stockpiled under the canopy line of any tree to be retained during the construction period of the development hereby permitted.</w:t>
      </w:r>
    </w:p>
    <w:p w14:paraId="1A8B3679" w14:textId="30D9EEDB" w:rsidR="008E229A" w:rsidRPr="005B31E3" w:rsidRDefault="008E229A" w:rsidP="005B31E3">
      <w:pPr>
        <w:pStyle w:val="Heading3"/>
      </w:pPr>
      <w:r w:rsidRPr="005B31E3">
        <w:t>Landscaping Prior to Occupation</w:t>
      </w:r>
    </w:p>
    <w:p w14:paraId="69B592E7" w14:textId="77777777" w:rsidR="008E229A" w:rsidRPr="008E229A" w:rsidRDefault="008E229A" w:rsidP="008E229A">
      <w:pPr>
        <w:pStyle w:val="BodyText"/>
        <w:numPr>
          <w:ilvl w:val="1"/>
          <w:numId w:val="24"/>
        </w:numPr>
        <w:jc w:val="both"/>
        <w:rPr>
          <w:sz w:val="26"/>
          <w:szCs w:val="26"/>
        </w:rPr>
      </w:pPr>
      <w:r w:rsidRPr="008E229A">
        <w:rPr>
          <w:sz w:val="26"/>
          <w:szCs w:val="26"/>
        </w:rPr>
        <w:t>Before the occupation of the buildings allowed by this permit, landscaping works as shown on the endorsed plans must be completed to the satisfaction of the Responsible Authority and then maintained to the satisfaction of the Responsible Authority.</w:t>
      </w:r>
    </w:p>
    <w:p w14:paraId="01DBDC1C" w14:textId="54921E88" w:rsidR="008E229A" w:rsidRPr="005B31E3" w:rsidRDefault="005B31E3" w:rsidP="005B31E3">
      <w:pPr>
        <w:pStyle w:val="Heading3"/>
      </w:pPr>
      <w:r>
        <w:rPr>
          <w:noProof/>
          <w:color w:val="000000"/>
          <w:sz w:val="26"/>
          <w:szCs w:val="26"/>
        </w:rPr>
        <w:lastRenderedPageBreak/>
        <w:drawing>
          <wp:anchor distT="0" distB="0" distL="114300" distR="114300" simplePos="0" relativeHeight="251664384" behindDoc="1" locked="0" layoutInCell="1" allowOverlap="1" wp14:anchorId="04AA20A6" wp14:editId="60C6581A">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229A" w:rsidRPr="008E229A">
        <w:rPr>
          <w:color w:val="000000"/>
          <w:sz w:val="26"/>
          <w:szCs w:val="26"/>
        </w:rPr>
        <w:t>Drainage</w:t>
      </w:r>
    </w:p>
    <w:p w14:paraId="5C2D6C2B" w14:textId="77777777" w:rsidR="008E229A" w:rsidRPr="008E229A" w:rsidRDefault="008E229A" w:rsidP="008E229A">
      <w:pPr>
        <w:numPr>
          <w:ilvl w:val="1"/>
          <w:numId w:val="24"/>
        </w:numPr>
        <w:jc w:val="both"/>
      </w:pPr>
      <w:r w:rsidRPr="008E229A">
        <w:t>All stormwater collected on the site from all hard surface areas must not be allowed to flow uncontrolled into adjoining properties or the road reserve.</w:t>
      </w:r>
      <w:bookmarkStart w:id="2" w:name="DET"/>
      <w:bookmarkEnd w:id="2"/>
    </w:p>
    <w:p w14:paraId="559B9C5D" w14:textId="77777777" w:rsidR="008E229A" w:rsidRPr="008E229A" w:rsidRDefault="008E229A" w:rsidP="008E229A">
      <w:pPr>
        <w:jc w:val="both"/>
      </w:pPr>
    </w:p>
    <w:p w14:paraId="4DCA8775" w14:textId="77777777" w:rsidR="008E229A" w:rsidRPr="008E229A" w:rsidRDefault="008E229A" w:rsidP="008E229A">
      <w:pPr>
        <w:numPr>
          <w:ilvl w:val="1"/>
          <w:numId w:val="24"/>
        </w:numPr>
        <w:jc w:val="both"/>
      </w:pPr>
      <w:r w:rsidRPr="008E229A">
        <w:t>The private on-site drainage system must prevent stormwater discharge from the/each driveway over the footpath and into the road reserve.  The internal drainage system may include either:</w:t>
      </w:r>
    </w:p>
    <w:p w14:paraId="6DBB6E04" w14:textId="77777777" w:rsidR="008E229A" w:rsidRPr="008E229A" w:rsidRDefault="008E229A" w:rsidP="008E229A">
      <w:pPr>
        <w:pStyle w:val="LetterParagraph"/>
        <w:numPr>
          <w:ilvl w:val="0"/>
          <w:numId w:val="27"/>
        </w:numPr>
        <w:ind w:left="1134" w:hanging="567"/>
        <w:rPr>
          <w:rFonts w:ascii="Times New Roman" w:hAnsi="Times New Roman"/>
          <w:sz w:val="26"/>
          <w:szCs w:val="26"/>
        </w:rPr>
      </w:pPr>
      <w:r w:rsidRPr="008E229A">
        <w:rPr>
          <w:rFonts w:ascii="Times New Roman" w:hAnsi="Times New Roman"/>
          <w:sz w:val="26"/>
          <w:szCs w:val="26"/>
        </w:rPr>
        <w:t>a trench grate (minimum internal width of 150 mm) located within the property boundary and not the back of footpath; and/or</w:t>
      </w:r>
    </w:p>
    <w:p w14:paraId="4A78797A" w14:textId="77777777" w:rsidR="008E229A" w:rsidRPr="008E229A" w:rsidRDefault="008E229A" w:rsidP="008E229A">
      <w:pPr>
        <w:pStyle w:val="LetterParagraph"/>
        <w:numPr>
          <w:ilvl w:val="0"/>
          <w:numId w:val="27"/>
        </w:numPr>
        <w:ind w:left="1134" w:hanging="567"/>
        <w:rPr>
          <w:rFonts w:ascii="Times New Roman" w:hAnsi="Times New Roman"/>
          <w:sz w:val="26"/>
          <w:szCs w:val="26"/>
        </w:rPr>
      </w:pPr>
      <w:r w:rsidRPr="008E229A">
        <w:rPr>
          <w:rFonts w:ascii="Times New Roman" w:hAnsi="Times New Roman"/>
          <w:sz w:val="26"/>
          <w:szCs w:val="26"/>
        </w:rPr>
        <w:t>shaping the internal driveway so that stormwater is collected in grated pits within the property; and or</w:t>
      </w:r>
    </w:p>
    <w:p w14:paraId="0AD91810" w14:textId="77777777" w:rsidR="008E229A" w:rsidRPr="008E229A" w:rsidRDefault="008E229A" w:rsidP="008E229A">
      <w:pPr>
        <w:pStyle w:val="LetterParagraph"/>
        <w:numPr>
          <w:ilvl w:val="0"/>
          <w:numId w:val="27"/>
        </w:numPr>
        <w:ind w:left="1134" w:hanging="567"/>
        <w:rPr>
          <w:rFonts w:ascii="Times New Roman" w:hAnsi="Times New Roman"/>
          <w:sz w:val="26"/>
          <w:szCs w:val="26"/>
        </w:rPr>
      </w:pPr>
      <w:r w:rsidRPr="008E229A">
        <w:rPr>
          <w:rFonts w:ascii="Times New Roman" w:hAnsi="Times New Roman"/>
          <w:sz w:val="26"/>
          <w:szCs w:val="26"/>
        </w:rPr>
        <w:t>another Council approved equivalent.</w:t>
      </w:r>
    </w:p>
    <w:p w14:paraId="457CD004" w14:textId="77777777" w:rsidR="008E229A" w:rsidRPr="008E229A" w:rsidRDefault="008E229A" w:rsidP="008E229A">
      <w:pPr>
        <w:numPr>
          <w:ilvl w:val="1"/>
          <w:numId w:val="24"/>
        </w:numPr>
        <w:jc w:val="both"/>
      </w:pPr>
      <w:r w:rsidRPr="008E229A">
        <w:t>All stormwater collected on the site is to be detained on site to the predevelopment level of peak stormwater discharge.  The design of any internal detention system is to be approved by Council’s Engineering Department prior to drainage works commencing.</w:t>
      </w:r>
      <w:bookmarkStart w:id="3" w:name="LPOD"/>
      <w:bookmarkEnd w:id="3"/>
    </w:p>
    <w:p w14:paraId="6044F7C0" w14:textId="77777777" w:rsidR="008E229A" w:rsidRPr="008E229A" w:rsidRDefault="008E229A" w:rsidP="008E229A">
      <w:pPr>
        <w:ind w:left="567"/>
        <w:jc w:val="both"/>
      </w:pPr>
    </w:p>
    <w:p w14:paraId="50E179D5" w14:textId="77777777" w:rsidR="008E229A" w:rsidRPr="008E229A" w:rsidRDefault="008E229A" w:rsidP="008E229A">
      <w:pPr>
        <w:numPr>
          <w:ilvl w:val="1"/>
          <w:numId w:val="24"/>
        </w:numPr>
        <w:jc w:val="both"/>
      </w:pPr>
      <w:r w:rsidRPr="008E229A">
        <w:t xml:space="preserve">The nominated point of stormwater connection for the site is to the south-east corner of the property where the entire site's stormwater must be collected and free drained via a pipe to the Council pit in the naturestrip to be constructed to Council Standards.  </w:t>
      </w:r>
      <w:r w:rsidRPr="008E229A">
        <w:rPr>
          <w:i/>
        </w:rPr>
        <w:t xml:space="preserve">(A new pit is to be constructed to Council Standards if a pit does not exist, is in poor condition or is not a Council standard pit). </w:t>
      </w:r>
      <w:r w:rsidRPr="008E229A">
        <w:t>Note:  If the point of connection cannot be located then notify Council's Engineering Department immediately.</w:t>
      </w:r>
    </w:p>
    <w:p w14:paraId="6101A4D6" w14:textId="77777777" w:rsidR="008E229A" w:rsidRPr="008E229A" w:rsidRDefault="008E229A" w:rsidP="005B31E3">
      <w:pPr>
        <w:pStyle w:val="Heading3"/>
      </w:pPr>
      <w:r w:rsidRPr="008E229A">
        <w:t>Road Infrastructure</w:t>
      </w:r>
    </w:p>
    <w:p w14:paraId="66269596" w14:textId="77777777" w:rsidR="008E229A" w:rsidRPr="008E229A" w:rsidRDefault="008E229A" w:rsidP="008E229A">
      <w:pPr>
        <w:pStyle w:val="BodyText"/>
        <w:numPr>
          <w:ilvl w:val="1"/>
          <w:numId w:val="24"/>
        </w:numPr>
        <w:jc w:val="both"/>
        <w:rPr>
          <w:sz w:val="26"/>
          <w:szCs w:val="26"/>
        </w:rPr>
      </w:pPr>
      <w:r w:rsidRPr="008E229A">
        <w:rPr>
          <w:sz w:val="26"/>
          <w:szCs w:val="26"/>
        </w:rPr>
        <w:t>All new vehicle crossings must be a minimum of 3.0 metres in width and constructed in accordance with Council standards</w:t>
      </w:r>
      <w:bookmarkStart w:id="4" w:name="CROSSINGS2"/>
      <w:bookmarkStart w:id="5" w:name="CROSSINGS3"/>
      <w:bookmarkStart w:id="6" w:name="CROSSINGS4"/>
      <w:bookmarkStart w:id="7" w:name="CROSSINGS6"/>
      <w:bookmarkEnd w:id="4"/>
      <w:bookmarkEnd w:id="5"/>
      <w:bookmarkEnd w:id="6"/>
      <w:bookmarkEnd w:id="7"/>
      <w:r w:rsidRPr="008E229A">
        <w:rPr>
          <w:sz w:val="26"/>
          <w:szCs w:val="26"/>
        </w:rPr>
        <w:t>.</w:t>
      </w:r>
    </w:p>
    <w:p w14:paraId="71458690" w14:textId="77777777" w:rsidR="008E229A" w:rsidRPr="008E229A" w:rsidRDefault="008E229A" w:rsidP="008E229A">
      <w:pPr>
        <w:pStyle w:val="BodyText"/>
        <w:ind w:left="567"/>
        <w:jc w:val="both"/>
        <w:rPr>
          <w:sz w:val="26"/>
          <w:szCs w:val="26"/>
        </w:rPr>
      </w:pPr>
    </w:p>
    <w:p w14:paraId="134831CF" w14:textId="77777777" w:rsidR="008E229A" w:rsidRPr="008E229A" w:rsidRDefault="008E229A" w:rsidP="008E229A">
      <w:pPr>
        <w:pStyle w:val="BodyText"/>
        <w:numPr>
          <w:ilvl w:val="1"/>
          <w:numId w:val="24"/>
        </w:numPr>
        <w:jc w:val="both"/>
        <w:rPr>
          <w:sz w:val="26"/>
          <w:szCs w:val="26"/>
        </w:rPr>
      </w:pPr>
      <w:r w:rsidRPr="008E229A">
        <w:rPr>
          <w:sz w:val="26"/>
          <w:szCs w:val="26"/>
        </w:rPr>
        <w:t>All vehicle crossings within 1.50 metres of an adjoining crossing shall be converted to a double crossing in accordance with Council standards.</w:t>
      </w:r>
    </w:p>
    <w:p w14:paraId="53AB9077" w14:textId="77777777" w:rsidR="008E229A" w:rsidRPr="008E229A" w:rsidRDefault="008E229A" w:rsidP="008E229A">
      <w:pPr>
        <w:pStyle w:val="BodyText"/>
        <w:ind w:left="567"/>
        <w:jc w:val="both"/>
        <w:rPr>
          <w:sz w:val="26"/>
          <w:szCs w:val="26"/>
        </w:rPr>
      </w:pPr>
    </w:p>
    <w:p w14:paraId="77D1FCE5" w14:textId="77777777" w:rsidR="008E229A" w:rsidRPr="008E229A" w:rsidRDefault="008E229A" w:rsidP="008E229A">
      <w:pPr>
        <w:pStyle w:val="BodyText"/>
        <w:numPr>
          <w:ilvl w:val="1"/>
          <w:numId w:val="24"/>
        </w:numPr>
        <w:jc w:val="both"/>
        <w:rPr>
          <w:sz w:val="26"/>
          <w:szCs w:val="26"/>
        </w:rPr>
      </w:pPr>
      <w:r w:rsidRPr="008E229A">
        <w:rPr>
          <w:sz w:val="26"/>
          <w:szCs w:val="26"/>
        </w:rPr>
        <w:t>Any works within the road reserve must ensure the footpath and naturestrip are to be reinstated to Council standards.</w:t>
      </w:r>
    </w:p>
    <w:p w14:paraId="4DDFCAF6" w14:textId="4C1DDDFC" w:rsidR="008E229A" w:rsidRPr="008E229A" w:rsidRDefault="008E229A" w:rsidP="008E229A">
      <w:pPr>
        <w:pStyle w:val="ListParagraph"/>
        <w:rPr>
          <w:sz w:val="26"/>
          <w:szCs w:val="26"/>
        </w:rPr>
      </w:pPr>
    </w:p>
    <w:p w14:paraId="1D7A1D41" w14:textId="77777777" w:rsidR="008E229A" w:rsidRPr="008E229A" w:rsidRDefault="008E229A" w:rsidP="008E229A">
      <w:pPr>
        <w:pStyle w:val="BodyText"/>
        <w:numPr>
          <w:ilvl w:val="1"/>
          <w:numId w:val="24"/>
        </w:numPr>
        <w:jc w:val="both"/>
        <w:rPr>
          <w:sz w:val="26"/>
          <w:szCs w:val="26"/>
        </w:rPr>
      </w:pPr>
      <w:r w:rsidRPr="008E229A">
        <w:rPr>
          <w:sz w:val="26"/>
          <w:szCs w:val="26"/>
        </w:rPr>
        <w:t>All new vehicle crossings are to be no closer than 1.0 metre, measured at the kerb, to the edge of any power pole, drainage or service pit, or other services.  Approval from affected service authorities is required as part of the vehicle crossing application process.</w:t>
      </w:r>
      <w:bookmarkStart w:id="8" w:name="CROSSINGS8"/>
      <w:bookmarkEnd w:id="8"/>
    </w:p>
    <w:p w14:paraId="39B3CE95" w14:textId="77777777" w:rsidR="008E229A" w:rsidRPr="008E229A" w:rsidRDefault="008E229A" w:rsidP="005B31E3">
      <w:pPr>
        <w:pStyle w:val="Heading3"/>
      </w:pPr>
      <w:r w:rsidRPr="008E229A">
        <w:t>Traffic</w:t>
      </w:r>
    </w:p>
    <w:p w14:paraId="703783C3" w14:textId="030011BE" w:rsidR="008E229A" w:rsidRPr="008E229A" w:rsidRDefault="008E229A" w:rsidP="008E229A">
      <w:pPr>
        <w:pStyle w:val="BodyText"/>
        <w:numPr>
          <w:ilvl w:val="1"/>
          <w:numId w:val="24"/>
        </w:numPr>
        <w:jc w:val="both"/>
        <w:rPr>
          <w:sz w:val="26"/>
          <w:szCs w:val="26"/>
        </w:rPr>
      </w:pPr>
      <w:r w:rsidRPr="008E229A">
        <w:rPr>
          <w:sz w:val="26"/>
          <w:szCs w:val="26"/>
        </w:rPr>
        <w:t xml:space="preserve">A corner splay or area at least 50% clear of visual obstructions (or with a height of less than 1.2 metres), which may include adjacent landscaping areas with a height of less than 0.9 metres, extending at least 2.0 metres long x 2.5 </w:t>
      </w:r>
      <w:r w:rsidR="005B31E3">
        <w:rPr>
          <w:noProof/>
          <w:sz w:val="26"/>
          <w:szCs w:val="26"/>
        </w:rPr>
        <w:lastRenderedPageBreak/>
        <w:drawing>
          <wp:anchor distT="0" distB="0" distL="114300" distR="114300" simplePos="0" relativeHeight="251665408" behindDoc="1" locked="0" layoutInCell="1" allowOverlap="1" wp14:anchorId="34B55574" wp14:editId="649A02AF">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8E229A">
        <w:rPr>
          <w:sz w:val="26"/>
          <w:szCs w:val="26"/>
        </w:rPr>
        <w:t>metres deep (within the property) both sides or from the edge of the exit lane of each vehicle crossing to provide a clear view of pedestrians on the footpath of the frontage road.</w:t>
      </w:r>
    </w:p>
    <w:p w14:paraId="0F70670B" w14:textId="77777777" w:rsidR="008E229A" w:rsidRPr="008E229A" w:rsidRDefault="008E229A" w:rsidP="005B31E3">
      <w:pPr>
        <w:pStyle w:val="Heading3"/>
      </w:pPr>
      <w:r w:rsidRPr="008E229A">
        <w:t>Permits</w:t>
      </w:r>
    </w:p>
    <w:p w14:paraId="05CB7CA4" w14:textId="77777777" w:rsidR="008E229A" w:rsidRPr="008E229A" w:rsidRDefault="008E229A" w:rsidP="008E229A">
      <w:pPr>
        <w:pStyle w:val="BodyText"/>
        <w:numPr>
          <w:ilvl w:val="1"/>
          <w:numId w:val="24"/>
        </w:numPr>
        <w:jc w:val="both"/>
        <w:rPr>
          <w:sz w:val="26"/>
          <w:szCs w:val="26"/>
        </w:rPr>
      </w:pPr>
      <w:r w:rsidRPr="008E229A">
        <w:rPr>
          <w:sz w:val="26"/>
          <w:szCs w:val="26"/>
        </w:rPr>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4AA23B33" w14:textId="77777777" w:rsidR="008E229A" w:rsidRPr="008E229A" w:rsidRDefault="008E229A" w:rsidP="005B31E3">
      <w:pPr>
        <w:pStyle w:val="Heading3"/>
      </w:pPr>
      <w:r w:rsidRPr="008E229A">
        <w:t>Completion of Buildings and Works</w:t>
      </w:r>
    </w:p>
    <w:p w14:paraId="5F35EC12" w14:textId="77777777" w:rsidR="008E229A" w:rsidRPr="008E229A" w:rsidRDefault="008E229A" w:rsidP="008E229A">
      <w:pPr>
        <w:pStyle w:val="BodyText"/>
        <w:numPr>
          <w:ilvl w:val="1"/>
          <w:numId w:val="24"/>
        </w:numPr>
        <w:jc w:val="both"/>
        <w:rPr>
          <w:sz w:val="26"/>
          <w:szCs w:val="26"/>
        </w:rPr>
      </w:pPr>
      <w:r w:rsidRPr="008E229A">
        <w:rPr>
          <w:sz w:val="26"/>
          <w:szCs w:val="26"/>
        </w:rPr>
        <w:t>Once the development has started it must be continued and completed to the satisfaction of the Responsible Authority.</w:t>
      </w:r>
    </w:p>
    <w:p w14:paraId="65070CCB" w14:textId="77777777" w:rsidR="008E229A" w:rsidRPr="008E229A" w:rsidRDefault="008E229A" w:rsidP="005B31E3">
      <w:pPr>
        <w:pStyle w:val="Heading3"/>
      </w:pPr>
      <w:r w:rsidRPr="008E229A">
        <w:t xml:space="preserve">Permit Expiry </w:t>
      </w:r>
    </w:p>
    <w:p w14:paraId="640D002A" w14:textId="77777777" w:rsidR="008E229A" w:rsidRPr="008E229A" w:rsidRDefault="008E229A" w:rsidP="008E229A">
      <w:pPr>
        <w:pStyle w:val="BodyText"/>
        <w:numPr>
          <w:ilvl w:val="1"/>
          <w:numId w:val="24"/>
        </w:numPr>
        <w:jc w:val="both"/>
        <w:rPr>
          <w:sz w:val="26"/>
          <w:szCs w:val="26"/>
        </w:rPr>
      </w:pPr>
      <w:r w:rsidRPr="008E229A">
        <w:rPr>
          <w:sz w:val="26"/>
          <w:szCs w:val="26"/>
        </w:rPr>
        <w:t xml:space="preserve">This permit will expire in accordance with section 68 of the </w:t>
      </w:r>
      <w:r w:rsidRPr="008E229A">
        <w:rPr>
          <w:i/>
          <w:sz w:val="26"/>
          <w:szCs w:val="26"/>
        </w:rPr>
        <w:t>Planning and Environment Act 1987</w:t>
      </w:r>
      <w:r w:rsidRPr="008E229A">
        <w:rPr>
          <w:sz w:val="26"/>
          <w:szCs w:val="26"/>
        </w:rPr>
        <w:t>, if one of the following circumstances applies:</w:t>
      </w:r>
    </w:p>
    <w:p w14:paraId="61CC48FC" w14:textId="77777777" w:rsidR="008E229A" w:rsidRPr="008E229A" w:rsidRDefault="008E229A" w:rsidP="008E229A">
      <w:pPr>
        <w:pStyle w:val="ListParagraph"/>
        <w:widowControl/>
        <w:numPr>
          <w:ilvl w:val="0"/>
          <w:numId w:val="28"/>
        </w:numPr>
        <w:autoSpaceDE/>
        <w:autoSpaceDN/>
        <w:spacing w:after="120"/>
        <w:rPr>
          <w:sz w:val="26"/>
          <w:szCs w:val="26"/>
        </w:rPr>
      </w:pPr>
      <w:r w:rsidRPr="008E229A">
        <w:rPr>
          <w:sz w:val="26"/>
          <w:szCs w:val="26"/>
        </w:rPr>
        <w:t>The development has not started before two (2) years from the date of issue.</w:t>
      </w:r>
    </w:p>
    <w:p w14:paraId="7518E3CE" w14:textId="77777777" w:rsidR="008E229A" w:rsidRPr="008E229A" w:rsidRDefault="008E229A" w:rsidP="008E229A">
      <w:pPr>
        <w:pStyle w:val="ListParagraph"/>
        <w:widowControl/>
        <w:numPr>
          <w:ilvl w:val="0"/>
          <w:numId w:val="28"/>
        </w:numPr>
        <w:autoSpaceDE/>
        <w:autoSpaceDN/>
        <w:spacing w:after="120"/>
        <w:rPr>
          <w:sz w:val="26"/>
          <w:szCs w:val="26"/>
        </w:rPr>
      </w:pPr>
      <w:r w:rsidRPr="008E229A">
        <w:rPr>
          <w:sz w:val="26"/>
          <w:szCs w:val="26"/>
        </w:rPr>
        <w:t>The development is not completed before four (4) years from the date of issue.</w:t>
      </w:r>
    </w:p>
    <w:p w14:paraId="56E84421" w14:textId="77777777" w:rsidR="008E229A" w:rsidRPr="008E229A" w:rsidRDefault="008E229A" w:rsidP="008E229A">
      <w:pPr>
        <w:pStyle w:val="Para2"/>
        <w:jc w:val="both"/>
        <w:rPr>
          <w:lang w:val="en-GB"/>
        </w:rPr>
      </w:pPr>
      <w:r w:rsidRPr="008E229A">
        <w:rPr>
          <w:lang w:val="en-GB"/>
        </w:rPr>
        <w:t xml:space="preserve">In accordance with section 69 of the </w:t>
      </w:r>
      <w:r w:rsidRPr="008E229A">
        <w:rPr>
          <w:i/>
          <w:lang w:val="en-GB"/>
        </w:rPr>
        <w:t>Planning and Environment Act 1987</w:t>
      </w:r>
      <w:r w:rsidRPr="008E229A">
        <w:rPr>
          <w:lang w:val="en-GB"/>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1FE913CF" w14:textId="77777777" w:rsidR="00B24E43" w:rsidRDefault="00B24E43" w:rsidP="001E5F05">
      <w:pPr>
        <w:pStyle w:val="Order1"/>
        <w:jc w:val="center"/>
        <w:rPr>
          <w:b/>
        </w:rPr>
      </w:pPr>
      <w:r>
        <w:rPr>
          <w:b/>
        </w:rPr>
        <w:t>- End of conditions -</w:t>
      </w:r>
    </w:p>
    <w:p w14:paraId="4BA9ADC3" w14:textId="77777777" w:rsidR="00B24E43" w:rsidRDefault="00B24E43" w:rsidP="001E5F05"/>
    <w:p w14:paraId="477BE935" w14:textId="77777777" w:rsidR="00B24E43" w:rsidRDefault="00B24E43" w:rsidP="001E5F05">
      <w:pPr>
        <w:sectPr w:rsidR="00B24E43" w:rsidSect="005B31E3">
          <w:headerReference w:type="even" r:id="rId9"/>
          <w:headerReference w:type="default" r:id="rId10"/>
          <w:footerReference w:type="even" r:id="rId11"/>
          <w:footerReference w:type="default" r:id="rId12"/>
          <w:headerReference w:type="first" r:id="rId13"/>
          <w:footerReference w:type="first" r:id="rId14"/>
          <w:pgSz w:w="11907" w:h="16840" w:code="9"/>
          <w:pgMar w:top="1276" w:right="1701" w:bottom="993" w:left="1701" w:header="567" w:footer="567" w:gutter="0"/>
          <w:pgNumType w:start="1"/>
          <w:cols w:space="720"/>
          <w:titlePg/>
          <w:docGrid w:linePitch="360"/>
        </w:sectPr>
      </w:pPr>
    </w:p>
    <w:p w14:paraId="77AE6826" w14:textId="77777777" w:rsidR="00B24E43" w:rsidRDefault="00B24E43" w:rsidP="001E5F05"/>
    <w:sectPr w:rsidR="00B24E43" w:rsidSect="00B24E43">
      <w:footerReference w:type="default" r:id="rId15"/>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C8C8" w14:textId="77777777" w:rsidR="00464C56" w:rsidRDefault="00464C56">
      <w:r>
        <w:separator/>
      </w:r>
    </w:p>
  </w:endnote>
  <w:endnote w:type="continuationSeparator" w:id="0">
    <w:p w14:paraId="26BF3425" w14:textId="77777777" w:rsidR="00464C56" w:rsidRDefault="004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FAFD" w14:textId="77777777" w:rsidR="005B31E3" w:rsidRDefault="005B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B24E43" w14:paraId="69D78FE4" w14:textId="77777777">
      <w:trPr>
        <w:cantSplit/>
      </w:trPr>
      <w:tc>
        <w:tcPr>
          <w:tcW w:w="3884" w:type="pct"/>
        </w:tcPr>
        <w:p w14:paraId="739AAB5A" w14:textId="77777777" w:rsidR="00B24E43" w:rsidRDefault="00B24E43">
          <w:pPr>
            <w:pStyle w:val="Footer"/>
            <w:spacing w:beforeLines="60" w:before="144"/>
            <w:rPr>
              <w:rFonts w:cs="Arial"/>
              <w:sz w:val="18"/>
              <w:szCs w:val="18"/>
            </w:rPr>
          </w:pPr>
          <w:r>
            <w:rPr>
              <w:rFonts w:cs="Arial"/>
              <w:sz w:val="18"/>
              <w:szCs w:val="18"/>
            </w:rPr>
            <w:t xml:space="preserve">VCAT Reference No. </w:t>
          </w:r>
          <w:r w:rsidRPr="00316358">
            <w:rPr>
              <w:noProof/>
              <w:sz w:val="18"/>
              <w:szCs w:val="18"/>
            </w:rPr>
            <w:t>P369/2020</w:t>
          </w:r>
        </w:p>
      </w:tc>
      <w:tc>
        <w:tcPr>
          <w:tcW w:w="1116" w:type="pct"/>
        </w:tcPr>
        <w:p w14:paraId="0FAC8E30" w14:textId="77777777" w:rsidR="00B24E43" w:rsidRDefault="00B24E4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0DB81079" w14:textId="77777777" w:rsidR="00B24E43" w:rsidRDefault="00B24E43">
    <w:pPr>
      <w:pStyle w:val="Footer"/>
      <w:rPr>
        <w:sz w:val="2"/>
      </w:rPr>
    </w:pPr>
  </w:p>
  <w:p w14:paraId="695CA1FC" w14:textId="77777777" w:rsidR="00B24E43" w:rsidRDefault="00B24E43">
    <w:pPr>
      <w:rPr>
        <w:sz w:val="2"/>
      </w:rPr>
    </w:pPr>
  </w:p>
  <w:p w14:paraId="21BF2AF2" w14:textId="77777777" w:rsidR="00B24E43" w:rsidRDefault="00B24E43">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DE6E" w14:textId="77777777" w:rsidR="005B31E3" w:rsidRDefault="005B31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71B4602" w14:textId="77777777">
      <w:trPr>
        <w:cantSplit/>
      </w:trPr>
      <w:tc>
        <w:tcPr>
          <w:tcW w:w="3884" w:type="pct"/>
        </w:tcPr>
        <w:p w14:paraId="1745EE0D" w14:textId="77777777" w:rsidR="007F601B" w:rsidRDefault="007F601B">
          <w:pPr>
            <w:pStyle w:val="Footer"/>
            <w:spacing w:beforeLines="60" w:before="144"/>
            <w:rPr>
              <w:rFonts w:cs="Arial"/>
              <w:sz w:val="18"/>
              <w:szCs w:val="18"/>
            </w:rPr>
          </w:pPr>
          <w:bookmarkStart w:id="9" w:name="FooterDescription"/>
          <w:bookmarkStart w:id="10" w:name="FooterFileNo1"/>
          <w:bookmarkEnd w:id="9"/>
          <w:bookmarkEnd w:id="10"/>
          <w:r>
            <w:rPr>
              <w:rFonts w:cs="Arial"/>
              <w:sz w:val="18"/>
              <w:szCs w:val="18"/>
            </w:rPr>
            <w:t xml:space="preserve">VCAT Reference No. </w:t>
          </w:r>
          <w:r w:rsidR="00E65860">
            <w:rPr>
              <w:noProof/>
              <w:sz w:val="18"/>
              <w:szCs w:val="18"/>
            </w:rPr>
            <w:t>«CaseCode»</w:t>
          </w:r>
        </w:p>
      </w:tc>
      <w:tc>
        <w:tcPr>
          <w:tcW w:w="1116" w:type="pct"/>
        </w:tcPr>
        <w:p w14:paraId="70CA2C88"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0C598416" w14:textId="77777777" w:rsidR="007F601B" w:rsidRDefault="007F601B">
    <w:pPr>
      <w:pStyle w:val="Footer"/>
      <w:rPr>
        <w:sz w:val="2"/>
      </w:rPr>
    </w:pPr>
  </w:p>
  <w:p w14:paraId="612CECCC" w14:textId="77777777" w:rsidR="007F601B" w:rsidRDefault="007F601B">
    <w:pPr>
      <w:rPr>
        <w:sz w:val="2"/>
      </w:rPr>
    </w:pPr>
  </w:p>
  <w:p w14:paraId="13853FC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6560" w14:textId="77777777" w:rsidR="00464C56" w:rsidRDefault="00464C56">
      <w:pPr>
        <w:pStyle w:val="Footer"/>
        <w:pBdr>
          <w:top w:val="single" w:sz="4" w:space="1" w:color="auto"/>
        </w:pBdr>
        <w:rPr>
          <w:sz w:val="12"/>
        </w:rPr>
      </w:pPr>
    </w:p>
  </w:footnote>
  <w:footnote w:type="continuationSeparator" w:id="0">
    <w:p w14:paraId="3814F6C4" w14:textId="77777777" w:rsidR="00464C56" w:rsidRDefault="00464C56">
      <w:r>
        <w:continuationSeparator/>
      </w:r>
    </w:p>
  </w:footnote>
  <w:footnote w:id="1">
    <w:p w14:paraId="78DE6819" w14:textId="77777777" w:rsidR="00B24E43" w:rsidRDefault="00B24E43" w:rsidP="001E5F05">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4A34" w14:textId="77777777" w:rsidR="005B31E3" w:rsidRDefault="005B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4357" w14:textId="77777777" w:rsidR="005B31E3" w:rsidRDefault="005B3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BEA0" w14:textId="77777777" w:rsidR="005B31E3" w:rsidRDefault="005B3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851"/>
    <w:multiLevelType w:val="hybridMultilevel"/>
    <w:tmpl w:val="E286F3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1">
    <w:nsid w:val="0AA62D53"/>
    <w:multiLevelType w:val="multilevel"/>
    <w:tmpl w:val="EDBE3D7E"/>
    <w:lvl w:ilvl="0">
      <w:start w:val="1"/>
      <w:numFmt w:val="decimal"/>
      <w:pStyle w:val="Order2"/>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819F6"/>
    <w:multiLevelType w:val="hybridMultilevel"/>
    <w:tmpl w:val="24926B7E"/>
    <w:lvl w:ilvl="0" w:tplc="0C090001">
      <w:start w:val="1"/>
      <w:numFmt w:val="bullet"/>
      <w:lvlText w:val=""/>
      <w:lvlJc w:val="left"/>
      <w:pPr>
        <w:ind w:left="720" w:hanging="360"/>
      </w:pPr>
      <w:rPr>
        <w:rFonts w:ascii="Symbol" w:hAnsi="Symbol" w:hint="default"/>
      </w:rPr>
    </w:lvl>
    <w:lvl w:ilvl="1" w:tplc="2024478A">
      <w:start w:val="1"/>
      <w:numFmt w:val="lowerLetter"/>
      <w:lvlText w:val="(%2)"/>
      <w:lvlJc w:val="left"/>
      <w:pPr>
        <w:ind w:left="1800" w:hanging="72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EA3BCA"/>
    <w:multiLevelType w:val="hybridMultilevel"/>
    <w:tmpl w:val="05E689FA"/>
    <w:lvl w:ilvl="0" w:tplc="9CA4E3BA">
      <w:start w:val="1"/>
      <w:numFmt w:val="decimal"/>
      <w:lvlText w:val="%1."/>
      <w:lvlJc w:val="left"/>
      <w:pPr>
        <w:ind w:left="2056" w:hanging="341"/>
        <w:jc w:val="left"/>
      </w:pPr>
      <w:rPr>
        <w:rFonts w:ascii="Times New Roman" w:eastAsia="Times New Roman" w:hAnsi="Times New Roman" w:cs="Times New Roman" w:hint="default"/>
        <w:w w:val="109"/>
        <w:sz w:val="20"/>
        <w:szCs w:val="20"/>
      </w:rPr>
    </w:lvl>
    <w:lvl w:ilvl="1" w:tplc="1B584138">
      <w:numFmt w:val="bullet"/>
      <w:lvlText w:val="•"/>
      <w:lvlJc w:val="left"/>
      <w:pPr>
        <w:ind w:left="2796" w:hanging="341"/>
      </w:pPr>
      <w:rPr>
        <w:rFonts w:hint="default"/>
      </w:rPr>
    </w:lvl>
    <w:lvl w:ilvl="2" w:tplc="5AFE2982">
      <w:numFmt w:val="bullet"/>
      <w:lvlText w:val="•"/>
      <w:lvlJc w:val="left"/>
      <w:pPr>
        <w:ind w:left="3532" w:hanging="341"/>
      </w:pPr>
      <w:rPr>
        <w:rFonts w:hint="default"/>
      </w:rPr>
    </w:lvl>
    <w:lvl w:ilvl="3" w:tplc="C4A6AD14">
      <w:numFmt w:val="bullet"/>
      <w:lvlText w:val="•"/>
      <w:lvlJc w:val="left"/>
      <w:pPr>
        <w:ind w:left="4268" w:hanging="341"/>
      </w:pPr>
      <w:rPr>
        <w:rFonts w:hint="default"/>
      </w:rPr>
    </w:lvl>
    <w:lvl w:ilvl="4" w:tplc="62221AE8">
      <w:numFmt w:val="bullet"/>
      <w:lvlText w:val="•"/>
      <w:lvlJc w:val="left"/>
      <w:pPr>
        <w:ind w:left="5004" w:hanging="341"/>
      </w:pPr>
      <w:rPr>
        <w:rFonts w:hint="default"/>
      </w:rPr>
    </w:lvl>
    <w:lvl w:ilvl="5" w:tplc="7E1C66C2">
      <w:numFmt w:val="bullet"/>
      <w:lvlText w:val="•"/>
      <w:lvlJc w:val="left"/>
      <w:pPr>
        <w:ind w:left="5740" w:hanging="341"/>
      </w:pPr>
      <w:rPr>
        <w:rFonts w:hint="default"/>
      </w:rPr>
    </w:lvl>
    <w:lvl w:ilvl="6" w:tplc="8B0846E2">
      <w:numFmt w:val="bullet"/>
      <w:lvlText w:val="•"/>
      <w:lvlJc w:val="left"/>
      <w:pPr>
        <w:ind w:left="6476" w:hanging="341"/>
      </w:pPr>
      <w:rPr>
        <w:rFonts w:hint="default"/>
      </w:rPr>
    </w:lvl>
    <w:lvl w:ilvl="7" w:tplc="AA2CC7D2">
      <w:numFmt w:val="bullet"/>
      <w:lvlText w:val="•"/>
      <w:lvlJc w:val="left"/>
      <w:pPr>
        <w:ind w:left="7212" w:hanging="341"/>
      </w:pPr>
      <w:rPr>
        <w:rFonts w:hint="default"/>
      </w:rPr>
    </w:lvl>
    <w:lvl w:ilvl="8" w:tplc="5C823AAC">
      <w:numFmt w:val="bullet"/>
      <w:lvlText w:val="•"/>
      <w:lvlJc w:val="left"/>
      <w:pPr>
        <w:ind w:left="7948" w:hanging="341"/>
      </w:pPr>
      <w:rPr>
        <w:rFonts w:hint="default"/>
      </w:r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134480A"/>
    <w:multiLevelType w:val="singleLevel"/>
    <w:tmpl w:val="5D90C49A"/>
    <w:lvl w:ilvl="0">
      <w:start w:val="1"/>
      <w:numFmt w:val="lowerLetter"/>
      <w:lvlText w:val="(%1)"/>
      <w:lvlJc w:val="left"/>
      <w:pPr>
        <w:tabs>
          <w:tab w:val="num" w:pos="720"/>
        </w:tabs>
        <w:ind w:left="720" w:hanging="720"/>
      </w:pPr>
      <w:rPr>
        <w:b w:val="0"/>
        <w:i w:val="0"/>
        <w:color w:val="auto"/>
        <w:sz w:val="24"/>
      </w:rPr>
    </w:lvl>
  </w:abstractNum>
  <w:abstractNum w:abstractNumId="14" w15:restartNumberingAfterBreak="0">
    <w:nsid w:val="670B6E51"/>
    <w:multiLevelType w:val="hybridMultilevel"/>
    <w:tmpl w:val="F2D8FB40"/>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669EC"/>
    <w:multiLevelType w:val="hybridMultilevel"/>
    <w:tmpl w:val="C79431C2"/>
    <w:lvl w:ilvl="0" w:tplc="FFFFFFFF">
      <w:start w:val="1"/>
      <w:numFmt w:val="lowerLetter"/>
      <w:lvlText w:val="(%1)"/>
      <w:lvlJc w:val="left"/>
      <w:pPr>
        <w:tabs>
          <w:tab w:val="num" w:pos="1080"/>
        </w:tabs>
        <w:ind w:left="1080" w:hanging="360"/>
      </w:p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64A33AB"/>
    <w:multiLevelType w:val="multilevel"/>
    <w:tmpl w:val="6FEAC7DC"/>
    <w:lvl w:ilvl="0">
      <w:start w:val="5"/>
      <w:numFmt w:val="decimal"/>
      <w:lvlText w:val="%1"/>
      <w:lvlJc w:val="left"/>
      <w:pPr>
        <w:ind w:left="779" w:hanging="665"/>
        <w:jc w:val="left"/>
      </w:pPr>
      <w:rPr>
        <w:rFonts w:hint="default"/>
      </w:rPr>
    </w:lvl>
    <w:lvl w:ilvl="1">
      <w:start w:val="1"/>
      <w:numFmt w:val="decimal"/>
      <w:lvlText w:val="%1.%2"/>
      <w:lvlJc w:val="left"/>
      <w:pPr>
        <w:ind w:left="779" w:hanging="665"/>
        <w:jc w:val="left"/>
      </w:pPr>
      <w:rPr>
        <w:rFonts w:ascii="Times New Roman" w:eastAsia="Times New Roman" w:hAnsi="Times New Roman" w:cs="Times New Roman" w:hint="default"/>
        <w:spacing w:val="-4"/>
        <w:w w:val="109"/>
        <w:sz w:val="20"/>
        <w:szCs w:val="20"/>
      </w:rPr>
    </w:lvl>
    <w:lvl w:ilvl="2">
      <w:numFmt w:val="bullet"/>
      <w:lvlText w:val="□"/>
      <w:lvlJc w:val="left"/>
      <w:pPr>
        <w:ind w:left="1518" w:hanging="291"/>
      </w:pPr>
      <w:rPr>
        <w:rFonts w:ascii="Times New Roman" w:eastAsia="Times New Roman" w:hAnsi="Times New Roman" w:cs="Times New Roman" w:hint="default"/>
        <w:w w:val="75"/>
        <w:sz w:val="20"/>
        <w:szCs w:val="20"/>
      </w:rPr>
    </w:lvl>
    <w:lvl w:ilvl="3">
      <w:numFmt w:val="bullet"/>
      <w:lvlText w:val="o"/>
      <w:lvlJc w:val="left"/>
      <w:pPr>
        <w:ind w:left="2156" w:hanging="329"/>
      </w:pPr>
      <w:rPr>
        <w:rFonts w:ascii="Times New Roman" w:eastAsia="Times New Roman" w:hAnsi="Times New Roman" w:cs="Times New Roman" w:hint="default"/>
        <w:w w:val="119"/>
        <w:sz w:val="20"/>
        <w:szCs w:val="20"/>
      </w:rPr>
    </w:lvl>
    <w:lvl w:ilvl="4">
      <w:numFmt w:val="bullet"/>
      <w:lvlText w:val="•"/>
      <w:lvlJc w:val="left"/>
      <w:pPr>
        <w:ind w:left="1520" w:hanging="329"/>
      </w:pPr>
      <w:rPr>
        <w:rFonts w:hint="default"/>
      </w:rPr>
    </w:lvl>
    <w:lvl w:ilvl="5">
      <w:numFmt w:val="bullet"/>
      <w:lvlText w:val="•"/>
      <w:lvlJc w:val="left"/>
      <w:pPr>
        <w:ind w:left="2160" w:hanging="329"/>
      </w:pPr>
      <w:rPr>
        <w:rFonts w:hint="default"/>
      </w:rPr>
    </w:lvl>
    <w:lvl w:ilvl="6">
      <w:numFmt w:val="bullet"/>
      <w:lvlText w:val="•"/>
      <w:lvlJc w:val="left"/>
      <w:pPr>
        <w:ind w:left="3612" w:hanging="329"/>
      </w:pPr>
      <w:rPr>
        <w:rFonts w:hint="default"/>
      </w:rPr>
    </w:lvl>
    <w:lvl w:ilvl="7">
      <w:numFmt w:val="bullet"/>
      <w:lvlText w:val="•"/>
      <w:lvlJc w:val="left"/>
      <w:pPr>
        <w:ind w:left="5064" w:hanging="329"/>
      </w:pPr>
      <w:rPr>
        <w:rFonts w:hint="default"/>
      </w:rPr>
    </w:lvl>
    <w:lvl w:ilvl="8">
      <w:numFmt w:val="bullet"/>
      <w:lvlText w:val="•"/>
      <w:lvlJc w:val="left"/>
      <w:pPr>
        <w:ind w:left="6516" w:hanging="329"/>
      </w:pPr>
      <w:rPr>
        <w:rFonts w:hint="default"/>
      </w:rPr>
    </w:lvl>
  </w:abstractNum>
  <w:num w:numId="1">
    <w:abstractNumId w:val="3"/>
  </w:num>
  <w:num w:numId="2">
    <w:abstractNumId w:val="2"/>
  </w:num>
  <w:num w:numId="3">
    <w:abstractNumId w:val="9"/>
  </w:num>
  <w:num w:numId="4">
    <w:abstractNumId w:val="15"/>
  </w:num>
  <w:num w:numId="5">
    <w:abstractNumId w:val="5"/>
  </w:num>
  <w:num w:numId="6">
    <w:abstractNumId w:val="6"/>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10"/>
  </w:num>
  <w:num w:numId="27">
    <w:abstractNumId w:val="4"/>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gXC6zqB7yxjWAXB8+8ev5ceuLHliARwdf6C0NWiIMzt2RR48QfLLMnsCLlxPi/06Zwj9DuJrRK99drhvIg7gg==" w:salt="Iqk7IS+m9etw99gDIBqE/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54CC"/>
    <w:rsid w:val="0008590B"/>
    <w:rsid w:val="000945F9"/>
    <w:rsid w:val="00094A20"/>
    <w:rsid w:val="000A567B"/>
    <w:rsid w:val="000F4E28"/>
    <w:rsid w:val="00124C1E"/>
    <w:rsid w:val="00152541"/>
    <w:rsid w:val="001567AE"/>
    <w:rsid w:val="0016093F"/>
    <w:rsid w:val="00163377"/>
    <w:rsid w:val="00165E22"/>
    <w:rsid w:val="00167876"/>
    <w:rsid w:val="001708C4"/>
    <w:rsid w:val="0018330C"/>
    <w:rsid w:val="00184AE9"/>
    <w:rsid w:val="001959FA"/>
    <w:rsid w:val="001E49C7"/>
    <w:rsid w:val="001E5F05"/>
    <w:rsid w:val="001F2D3D"/>
    <w:rsid w:val="0020467C"/>
    <w:rsid w:val="00211018"/>
    <w:rsid w:val="00217C6D"/>
    <w:rsid w:val="0023472F"/>
    <w:rsid w:val="002535EA"/>
    <w:rsid w:val="0028144B"/>
    <w:rsid w:val="0028244B"/>
    <w:rsid w:val="00290F9B"/>
    <w:rsid w:val="00293A03"/>
    <w:rsid w:val="002A47E1"/>
    <w:rsid w:val="002A52E0"/>
    <w:rsid w:val="002B7051"/>
    <w:rsid w:val="002D05B6"/>
    <w:rsid w:val="002F27B5"/>
    <w:rsid w:val="00312D8A"/>
    <w:rsid w:val="0031301B"/>
    <w:rsid w:val="00320C4B"/>
    <w:rsid w:val="0032102D"/>
    <w:rsid w:val="0034213D"/>
    <w:rsid w:val="00361E5C"/>
    <w:rsid w:val="00361EF0"/>
    <w:rsid w:val="003813E9"/>
    <w:rsid w:val="003B5E75"/>
    <w:rsid w:val="003D546E"/>
    <w:rsid w:val="003D7278"/>
    <w:rsid w:val="003E11C8"/>
    <w:rsid w:val="00427A16"/>
    <w:rsid w:val="00434BAA"/>
    <w:rsid w:val="00464C56"/>
    <w:rsid w:val="00467B86"/>
    <w:rsid w:val="00477574"/>
    <w:rsid w:val="004908EE"/>
    <w:rsid w:val="004919B5"/>
    <w:rsid w:val="00495762"/>
    <w:rsid w:val="004B3605"/>
    <w:rsid w:val="004C272B"/>
    <w:rsid w:val="004C5296"/>
    <w:rsid w:val="004D2122"/>
    <w:rsid w:val="004F54C1"/>
    <w:rsid w:val="0050689C"/>
    <w:rsid w:val="00507771"/>
    <w:rsid w:val="00510802"/>
    <w:rsid w:val="005454EB"/>
    <w:rsid w:val="005628C9"/>
    <w:rsid w:val="0058084D"/>
    <w:rsid w:val="0059145F"/>
    <w:rsid w:val="005B31E3"/>
    <w:rsid w:val="005B3D5D"/>
    <w:rsid w:val="005B500E"/>
    <w:rsid w:val="005D408F"/>
    <w:rsid w:val="005D6C47"/>
    <w:rsid w:val="005D77CE"/>
    <w:rsid w:val="005E1511"/>
    <w:rsid w:val="005E2D20"/>
    <w:rsid w:val="005E4824"/>
    <w:rsid w:val="005F6FDD"/>
    <w:rsid w:val="00604881"/>
    <w:rsid w:val="00647F43"/>
    <w:rsid w:val="0065338E"/>
    <w:rsid w:val="00672E04"/>
    <w:rsid w:val="00680AFF"/>
    <w:rsid w:val="00682C14"/>
    <w:rsid w:val="006C7549"/>
    <w:rsid w:val="006E7914"/>
    <w:rsid w:val="007007CB"/>
    <w:rsid w:val="00705098"/>
    <w:rsid w:val="00726365"/>
    <w:rsid w:val="007301D6"/>
    <w:rsid w:val="007440A9"/>
    <w:rsid w:val="00745F2B"/>
    <w:rsid w:val="00757BB5"/>
    <w:rsid w:val="00763504"/>
    <w:rsid w:val="00764EDD"/>
    <w:rsid w:val="00776999"/>
    <w:rsid w:val="0079593A"/>
    <w:rsid w:val="00796305"/>
    <w:rsid w:val="007D487A"/>
    <w:rsid w:val="007E1F51"/>
    <w:rsid w:val="007F00B8"/>
    <w:rsid w:val="007F601B"/>
    <w:rsid w:val="007F77A1"/>
    <w:rsid w:val="00801303"/>
    <w:rsid w:val="008069C5"/>
    <w:rsid w:val="008128BB"/>
    <w:rsid w:val="00812BED"/>
    <w:rsid w:val="00812EEA"/>
    <w:rsid w:val="008265B7"/>
    <w:rsid w:val="00830459"/>
    <w:rsid w:val="0084488B"/>
    <w:rsid w:val="0084497D"/>
    <w:rsid w:val="008602F8"/>
    <w:rsid w:val="008743ED"/>
    <w:rsid w:val="008832E0"/>
    <w:rsid w:val="00897E94"/>
    <w:rsid w:val="008A1FAC"/>
    <w:rsid w:val="008A247D"/>
    <w:rsid w:val="008A46EC"/>
    <w:rsid w:val="008A5793"/>
    <w:rsid w:val="008C1674"/>
    <w:rsid w:val="008E229A"/>
    <w:rsid w:val="00924205"/>
    <w:rsid w:val="00926A96"/>
    <w:rsid w:val="00932AF9"/>
    <w:rsid w:val="0094148C"/>
    <w:rsid w:val="00956463"/>
    <w:rsid w:val="009804A9"/>
    <w:rsid w:val="00993294"/>
    <w:rsid w:val="009C06C7"/>
    <w:rsid w:val="009D0685"/>
    <w:rsid w:val="00A12795"/>
    <w:rsid w:val="00A150D3"/>
    <w:rsid w:val="00A30D6A"/>
    <w:rsid w:val="00A35800"/>
    <w:rsid w:val="00A35CCF"/>
    <w:rsid w:val="00A53783"/>
    <w:rsid w:val="00A82E78"/>
    <w:rsid w:val="00A93D7C"/>
    <w:rsid w:val="00AA587E"/>
    <w:rsid w:val="00AB29FA"/>
    <w:rsid w:val="00AE46A6"/>
    <w:rsid w:val="00B134F7"/>
    <w:rsid w:val="00B160AF"/>
    <w:rsid w:val="00B24B9B"/>
    <w:rsid w:val="00B24E43"/>
    <w:rsid w:val="00B30FB4"/>
    <w:rsid w:val="00B36ACB"/>
    <w:rsid w:val="00B371E4"/>
    <w:rsid w:val="00B37468"/>
    <w:rsid w:val="00B876A2"/>
    <w:rsid w:val="00BA1951"/>
    <w:rsid w:val="00BB7851"/>
    <w:rsid w:val="00BC0CCD"/>
    <w:rsid w:val="00BC219D"/>
    <w:rsid w:val="00BD34AF"/>
    <w:rsid w:val="00BD5C83"/>
    <w:rsid w:val="00C10388"/>
    <w:rsid w:val="00C258A8"/>
    <w:rsid w:val="00C26EBF"/>
    <w:rsid w:val="00C7408F"/>
    <w:rsid w:val="00CA206B"/>
    <w:rsid w:val="00CA2144"/>
    <w:rsid w:val="00CA2642"/>
    <w:rsid w:val="00CB59EA"/>
    <w:rsid w:val="00CC19B1"/>
    <w:rsid w:val="00CC6FF1"/>
    <w:rsid w:val="00CD1F2A"/>
    <w:rsid w:val="00CF3170"/>
    <w:rsid w:val="00D03F21"/>
    <w:rsid w:val="00D14A42"/>
    <w:rsid w:val="00D23389"/>
    <w:rsid w:val="00D24AFE"/>
    <w:rsid w:val="00D24B15"/>
    <w:rsid w:val="00D303EB"/>
    <w:rsid w:val="00D419CA"/>
    <w:rsid w:val="00D6081F"/>
    <w:rsid w:val="00D616BA"/>
    <w:rsid w:val="00D64D3E"/>
    <w:rsid w:val="00D85359"/>
    <w:rsid w:val="00DB11E4"/>
    <w:rsid w:val="00DC7C16"/>
    <w:rsid w:val="00DD240D"/>
    <w:rsid w:val="00DE571E"/>
    <w:rsid w:val="00E002C5"/>
    <w:rsid w:val="00E06E3E"/>
    <w:rsid w:val="00E215EE"/>
    <w:rsid w:val="00E22A2C"/>
    <w:rsid w:val="00E3089B"/>
    <w:rsid w:val="00E62037"/>
    <w:rsid w:val="00E63BE5"/>
    <w:rsid w:val="00E65860"/>
    <w:rsid w:val="00E769A5"/>
    <w:rsid w:val="00EA5010"/>
    <w:rsid w:val="00EA5975"/>
    <w:rsid w:val="00EB5980"/>
    <w:rsid w:val="00ED56ED"/>
    <w:rsid w:val="00EE5E8E"/>
    <w:rsid w:val="00F338E1"/>
    <w:rsid w:val="00F55C68"/>
    <w:rsid w:val="00F60617"/>
    <w:rsid w:val="00F71927"/>
    <w:rsid w:val="00F773CF"/>
    <w:rsid w:val="00F9058C"/>
    <w:rsid w:val="00F94FD0"/>
    <w:rsid w:val="00FB3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AFE5C2"/>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EB5980"/>
    <w:pPr>
      <w:widowControl w:val="0"/>
      <w:autoSpaceDE w:val="0"/>
      <w:autoSpaceDN w:val="0"/>
      <w:ind w:left="791" w:hanging="338"/>
      <w:jc w:val="both"/>
    </w:pPr>
    <w:rPr>
      <w:sz w:val="22"/>
      <w:szCs w:val="22"/>
      <w:lang w:val="en-US"/>
    </w:rPr>
  </w:style>
  <w:style w:type="paragraph" w:styleId="BodyText">
    <w:name w:val="Body Text"/>
    <w:basedOn w:val="Normal"/>
    <w:link w:val="BodyTextChar"/>
    <w:unhideWhenUsed/>
    <w:rsid w:val="008E229A"/>
    <w:rPr>
      <w:sz w:val="24"/>
      <w:szCs w:val="20"/>
    </w:rPr>
  </w:style>
  <w:style w:type="character" w:customStyle="1" w:styleId="BodyTextChar">
    <w:name w:val="Body Text Char"/>
    <w:basedOn w:val="DefaultParagraphFont"/>
    <w:link w:val="BodyText"/>
    <w:rsid w:val="008E229A"/>
    <w:rPr>
      <w:sz w:val="24"/>
      <w:lang w:eastAsia="en-US"/>
    </w:rPr>
  </w:style>
  <w:style w:type="paragraph" w:styleId="BodyTextIndent3">
    <w:name w:val="Body Text Indent 3"/>
    <w:basedOn w:val="Normal"/>
    <w:link w:val="BodyTextIndent3Char"/>
    <w:uiPriority w:val="99"/>
    <w:semiHidden/>
    <w:unhideWhenUsed/>
    <w:rsid w:val="008E22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229A"/>
    <w:rPr>
      <w:sz w:val="16"/>
      <w:szCs w:val="16"/>
      <w:lang w:eastAsia="en-US"/>
    </w:rPr>
  </w:style>
  <w:style w:type="paragraph" w:customStyle="1" w:styleId="other">
    <w:name w:val="other"/>
    <w:basedOn w:val="Normal"/>
    <w:rsid w:val="008E229A"/>
    <w:rPr>
      <w:sz w:val="24"/>
      <w:szCs w:val="20"/>
    </w:rPr>
  </w:style>
  <w:style w:type="paragraph" w:customStyle="1" w:styleId="LetterParagraph">
    <w:name w:val="LetterParagraph"/>
    <w:basedOn w:val="Normal"/>
    <w:autoRedefine/>
    <w:qFormat/>
    <w:rsid w:val="008E229A"/>
    <w:pPr>
      <w:numPr>
        <w:numId w:val="26"/>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A20A-068B-4B3D-8C1B-92AD3857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Template>
  <TotalTime>7</TotalTime>
  <Pages>8</Pages>
  <Words>1930</Words>
  <Characters>11004</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Julie Haffenden (CSV)</cp:lastModifiedBy>
  <cp:revision>2</cp:revision>
  <cp:lastPrinted>2020-09-10T03:52:00Z</cp:lastPrinted>
  <dcterms:created xsi:type="dcterms:W3CDTF">2020-09-10T07:11:00Z</dcterms:created>
  <dcterms:modified xsi:type="dcterms:W3CDTF">2020-09-10T07:11:00Z</dcterms:modified>
</cp:coreProperties>
</file>