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AA51" w14:textId="5D2A881E" w:rsidR="00E200CF" w:rsidRDefault="0040062C" w:rsidP="00E200CF">
      <w:pPr>
        <w:pStyle w:val="TitlePage1"/>
      </w:pPr>
      <w:bookmarkStart w:id="0" w:name="_GoBack"/>
      <w:bookmarkEnd w:id="0"/>
      <w:r>
        <w:rPr>
          <w:noProof/>
        </w:rPr>
        <w:drawing>
          <wp:anchor distT="0" distB="0" distL="114300" distR="114300" simplePos="0" relativeHeight="251658240" behindDoc="1" locked="0" layoutInCell="1" allowOverlap="1" wp14:anchorId="43B4CF46" wp14:editId="4D796988">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5A5BB4A0" w14:textId="77777777" w:rsidR="00E200CF" w:rsidRDefault="003E5FC0"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RPr="009F658E" w14:paraId="0F973D00" w14:textId="77777777" w:rsidTr="00C963CC">
        <w:trPr>
          <w:cantSplit/>
        </w:trPr>
        <w:tc>
          <w:tcPr>
            <w:tcW w:w="2642" w:type="pct"/>
          </w:tcPr>
          <w:p w14:paraId="0B2D433F" w14:textId="77777777" w:rsidR="00E200CF" w:rsidRDefault="00E200CF" w:rsidP="00C963CC">
            <w:pPr>
              <w:pStyle w:val="TitlePage2"/>
            </w:pPr>
            <w:bookmarkStart w:id="2" w:name="SubDivision"/>
            <w:bookmarkEnd w:id="2"/>
            <w:r>
              <w:t>planning and environment LIST</w:t>
            </w:r>
          </w:p>
        </w:tc>
        <w:tc>
          <w:tcPr>
            <w:tcW w:w="2358" w:type="pct"/>
          </w:tcPr>
          <w:p w14:paraId="62796CE6" w14:textId="0CDE2896" w:rsidR="00E200CF" w:rsidRPr="009F658E" w:rsidRDefault="00E200CF" w:rsidP="00C963CC">
            <w:pPr>
              <w:pStyle w:val="TitlePage3"/>
            </w:pPr>
            <w:bookmarkStart w:id="3" w:name="FileNo1"/>
            <w:bookmarkEnd w:id="3"/>
            <w:r w:rsidRPr="009F658E">
              <w:t xml:space="preserve">vcat reference No. </w:t>
            </w:r>
            <w:r w:rsidR="007207E0">
              <w:t>P2153/2019</w:t>
            </w:r>
          </w:p>
          <w:p w14:paraId="6753A96A" w14:textId="19D4280A" w:rsidR="00E200CF" w:rsidRPr="009F658E" w:rsidRDefault="00E200CF" w:rsidP="00C963CC">
            <w:pPr>
              <w:pStyle w:val="TitlePage3"/>
            </w:pPr>
            <w:r w:rsidRPr="009F658E">
              <w:t xml:space="preserve">Permit Application no. </w:t>
            </w:r>
            <w:bookmarkStart w:id="4" w:name="_Hlk62110489"/>
            <w:r w:rsidR="007207E0">
              <w:t>tpA/50195</w:t>
            </w:r>
            <w:bookmarkEnd w:id="4"/>
          </w:p>
        </w:tc>
      </w:tr>
      <w:tr w:rsidR="00E200CF" w14:paraId="39021268" w14:textId="77777777" w:rsidTr="00C963CC">
        <w:tblPrEx>
          <w:jc w:val="center"/>
        </w:tblPrEx>
        <w:trPr>
          <w:cantSplit/>
          <w:jc w:val="center"/>
        </w:trPr>
        <w:tc>
          <w:tcPr>
            <w:tcW w:w="5000" w:type="pct"/>
            <w:gridSpan w:val="2"/>
          </w:tcPr>
          <w:p w14:paraId="380BD549" w14:textId="77777777" w:rsidR="00E200CF" w:rsidRDefault="00E200CF" w:rsidP="00C963CC">
            <w:pPr>
              <w:pStyle w:val="TitlePage2"/>
              <w:jc w:val="center"/>
            </w:pPr>
            <w:r>
              <w:t>CATCHWORDS</w:t>
            </w:r>
          </w:p>
        </w:tc>
      </w:tr>
      <w:tr w:rsidR="00E200CF" w14:paraId="6697C684" w14:textId="77777777" w:rsidTr="00C963CC">
        <w:tblPrEx>
          <w:jc w:val="center"/>
        </w:tblPrEx>
        <w:trPr>
          <w:cantSplit/>
          <w:jc w:val="center"/>
        </w:trPr>
        <w:tc>
          <w:tcPr>
            <w:tcW w:w="5000" w:type="pct"/>
            <w:gridSpan w:val="2"/>
          </w:tcPr>
          <w:p w14:paraId="1F890529" w14:textId="3EF58022" w:rsidR="00E200CF" w:rsidRDefault="00BC72CF" w:rsidP="00C963CC">
            <w:pPr>
              <w:pStyle w:val="Catchwords"/>
            </w:pPr>
            <w:r w:rsidRPr="00BC72CF">
              <w:t xml:space="preserve">Application under section 80 of the </w:t>
            </w:r>
            <w:r w:rsidRPr="00BC72CF">
              <w:rPr>
                <w:i/>
                <w:iCs/>
              </w:rPr>
              <w:t>Planning and Environment Act 1987</w:t>
            </w:r>
            <w:r>
              <w:t>;</w:t>
            </w:r>
            <w:r w:rsidRPr="00BC72CF">
              <w:t xml:space="preserve"> </w:t>
            </w:r>
            <w:r>
              <w:t>R</w:t>
            </w:r>
            <w:r w:rsidRPr="00BC72CF">
              <w:t>eview the conditions contained in the permit</w:t>
            </w:r>
            <w:r>
              <w:t xml:space="preserve">; </w:t>
            </w:r>
            <w:r w:rsidR="00CC1DD3" w:rsidRPr="00CC1DD3">
              <w:t>Monash Planning Scheme</w:t>
            </w:r>
            <w:r w:rsidR="00CC1DD3">
              <w:t xml:space="preserve">; </w:t>
            </w:r>
            <w:r w:rsidR="00CC1DD3" w:rsidRPr="00CC1DD3">
              <w:t>Neighbourhood Residential Zone – Schedule 4 (Dandenong Valley Escarpment Areas)</w:t>
            </w:r>
            <w:r w:rsidR="00CC1DD3">
              <w:t xml:space="preserve">; Two dwellings on a lot; </w:t>
            </w:r>
            <w:r w:rsidR="009E4DE5">
              <w:t>Design detail; Stormwater</w:t>
            </w:r>
            <w:r w:rsidRPr="00BC72CF">
              <w:t>.</w:t>
            </w:r>
          </w:p>
        </w:tc>
      </w:tr>
    </w:tbl>
    <w:p w14:paraId="67A7A0E0" w14:textId="77777777" w:rsidR="00E200CF" w:rsidRDefault="00E200CF" w:rsidP="00E200CF">
      <w:bookmarkStart w:id="5" w:name="Catchwords"/>
      <w:bookmarkEnd w:id="5"/>
    </w:p>
    <w:tbl>
      <w:tblPr>
        <w:tblW w:w="5000" w:type="pct"/>
        <w:tblLook w:val="0000" w:firstRow="0" w:lastRow="0" w:firstColumn="0" w:lastColumn="0" w:noHBand="0" w:noVBand="0"/>
      </w:tblPr>
      <w:tblGrid>
        <w:gridCol w:w="3545"/>
        <w:gridCol w:w="4960"/>
      </w:tblGrid>
      <w:tr w:rsidR="007207E0" w14:paraId="3D1210CC" w14:textId="77777777" w:rsidTr="00C963CC">
        <w:tc>
          <w:tcPr>
            <w:tcW w:w="2084" w:type="pct"/>
          </w:tcPr>
          <w:p w14:paraId="24D392EF" w14:textId="77777777" w:rsidR="007207E0" w:rsidRDefault="007207E0" w:rsidP="007207E0">
            <w:pPr>
              <w:pStyle w:val="TitlePage2"/>
            </w:pPr>
            <w:bookmarkStart w:id="6" w:name="DELcomplainants2"/>
            <w:bookmarkStart w:id="7" w:name="DELapp"/>
            <w:bookmarkStart w:id="8" w:name="DELitmo"/>
            <w:bookmarkStart w:id="9" w:name="DELcar"/>
            <w:r>
              <w:t>APPLICANT</w:t>
            </w:r>
          </w:p>
        </w:tc>
        <w:tc>
          <w:tcPr>
            <w:tcW w:w="2916" w:type="pct"/>
          </w:tcPr>
          <w:p w14:paraId="63B8A154" w14:textId="1D5AA68F" w:rsidR="007207E0" w:rsidRDefault="007207E0" w:rsidP="007207E0">
            <w:pPr>
              <w:pStyle w:val="TitlePagetext"/>
            </w:pPr>
            <w:bookmarkStart w:id="10" w:name="Applicant"/>
            <w:bookmarkEnd w:id="10"/>
            <w:r>
              <w:t>Mr Samuel Chunsum Tang</w:t>
            </w:r>
          </w:p>
        </w:tc>
      </w:tr>
      <w:tr w:rsidR="007207E0" w14:paraId="06F72671" w14:textId="77777777" w:rsidTr="00C963CC">
        <w:tc>
          <w:tcPr>
            <w:tcW w:w="2084" w:type="pct"/>
          </w:tcPr>
          <w:p w14:paraId="791B308E" w14:textId="77777777" w:rsidR="007207E0" w:rsidRDefault="007207E0" w:rsidP="007207E0">
            <w:pPr>
              <w:pStyle w:val="TitlePage2"/>
            </w:pPr>
            <w:r>
              <w:t>responsible authority</w:t>
            </w:r>
          </w:p>
        </w:tc>
        <w:tc>
          <w:tcPr>
            <w:tcW w:w="2916" w:type="pct"/>
          </w:tcPr>
          <w:p w14:paraId="2322BE9C" w14:textId="39B47412" w:rsidR="007207E0" w:rsidRDefault="007207E0" w:rsidP="007207E0">
            <w:pPr>
              <w:pStyle w:val="TitlePagetext"/>
            </w:pPr>
            <w:r>
              <w:t>Monash City Council</w:t>
            </w:r>
          </w:p>
        </w:tc>
      </w:tr>
      <w:tr w:rsidR="00E200CF" w14:paraId="7DDE7E90" w14:textId="77777777" w:rsidTr="00C963CC">
        <w:tc>
          <w:tcPr>
            <w:tcW w:w="2084" w:type="pct"/>
          </w:tcPr>
          <w:p w14:paraId="5A983DCD" w14:textId="77777777" w:rsidR="00E200CF" w:rsidRDefault="00E200CF" w:rsidP="00C963CC">
            <w:pPr>
              <w:pStyle w:val="TitlePage2"/>
            </w:pPr>
            <w:bookmarkStart w:id="11" w:name="DELrespondents2"/>
            <w:bookmarkStart w:id="12" w:name="DELsubjectland"/>
            <w:bookmarkEnd w:id="6"/>
            <w:bookmarkEnd w:id="7"/>
            <w:r>
              <w:t>SUBJECT LAND</w:t>
            </w:r>
          </w:p>
        </w:tc>
        <w:tc>
          <w:tcPr>
            <w:tcW w:w="2916" w:type="pct"/>
          </w:tcPr>
          <w:p w14:paraId="1D87CD5F" w14:textId="4CED7797" w:rsidR="00E200CF" w:rsidRDefault="007207E0" w:rsidP="00C963CC">
            <w:pPr>
              <w:pStyle w:val="TitlePagetext"/>
            </w:pPr>
            <w:bookmarkStart w:id="13" w:name="subjectland"/>
            <w:bookmarkEnd w:id="13"/>
            <w:r>
              <w:t>27 Ralton Avenue, Glen Waverley</w:t>
            </w:r>
          </w:p>
        </w:tc>
      </w:tr>
      <w:tr w:rsidR="00E200CF" w14:paraId="27F1EAAE" w14:textId="77777777" w:rsidTr="00C963CC">
        <w:tc>
          <w:tcPr>
            <w:tcW w:w="2084" w:type="pct"/>
          </w:tcPr>
          <w:p w14:paraId="5BAA5E56" w14:textId="77777777" w:rsidR="00E200CF" w:rsidRDefault="00E200CF" w:rsidP="00C963CC">
            <w:pPr>
              <w:pStyle w:val="TitlePage2"/>
            </w:pPr>
            <w:bookmarkStart w:id="14" w:name="INSresponsibleAuthority"/>
            <w:bookmarkEnd w:id="8"/>
            <w:bookmarkEnd w:id="9"/>
            <w:bookmarkEnd w:id="11"/>
            <w:bookmarkEnd w:id="12"/>
            <w:bookmarkEnd w:id="14"/>
            <w:r>
              <w:t>WHERE HELD</w:t>
            </w:r>
          </w:p>
        </w:tc>
        <w:tc>
          <w:tcPr>
            <w:tcW w:w="2916" w:type="pct"/>
          </w:tcPr>
          <w:p w14:paraId="31F1E52E" w14:textId="77777777" w:rsidR="00E200CF" w:rsidRDefault="00E200CF" w:rsidP="00C963CC">
            <w:pPr>
              <w:pStyle w:val="TitlePagetext"/>
            </w:pPr>
            <w:bookmarkStart w:id="15" w:name="Location"/>
            <w:bookmarkEnd w:id="15"/>
            <w:r>
              <w:t>Melbourne</w:t>
            </w:r>
          </w:p>
        </w:tc>
      </w:tr>
      <w:tr w:rsidR="00E200CF" w14:paraId="57E3B42C" w14:textId="77777777" w:rsidTr="00C963CC">
        <w:tc>
          <w:tcPr>
            <w:tcW w:w="2084" w:type="pct"/>
          </w:tcPr>
          <w:p w14:paraId="06C4EE4E" w14:textId="77777777" w:rsidR="00E200CF" w:rsidRDefault="00E200CF" w:rsidP="00C963CC">
            <w:pPr>
              <w:pStyle w:val="TitlePage2"/>
            </w:pPr>
            <w:r>
              <w:t>BEFORE</w:t>
            </w:r>
          </w:p>
        </w:tc>
        <w:tc>
          <w:tcPr>
            <w:tcW w:w="2916" w:type="pct"/>
          </w:tcPr>
          <w:p w14:paraId="4BF6D8B0" w14:textId="77777777" w:rsidR="00E200CF" w:rsidRDefault="006D35D8" w:rsidP="00C963CC">
            <w:pPr>
              <w:pStyle w:val="TitlePagetext"/>
            </w:pPr>
            <w:bookmarkStart w:id="16" w:name="Before"/>
            <w:bookmarkEnd w:id="16"/>
            <w:r>
              <w:t>Sarah McDonald, Member</w:t>
            </w:r>
          </w:p>
        </w:tc>
      </w:tr>
      <w:tr w:rsidR="00E200CF" w14:paraId="351232FA" w14:textId="77777777" w:rsidTr="00C963CC">
        <w:tc>
          <w:tcPr>
            <w:tcW w:w="2084" w:type="pct"/>
          </w:tcPr>
          <w:p w14:paraId="5583ECD3" w14:textId="77777777" w:rsidR="00E200CF" w:rsidRDefault="00E200CF" w:rsidP="00C963CC">
            <w:pPr>
              <w:pStyle w:val="TitlePage2"/>
            </w:pPr>
            <w:r>
              <w:t>HEARING TYPE</w:t>
            </w:r>
          </w:p>
        </w:tc>
        <w:tc>
          <w:tcPr>
            <w:tcW w:w="2916" w:type="pct"/>
          </w:tcPr>
          <w:p w14:paraId="4121499F" w14:textId="77777777" w:rsidR="00E200CF" w:rsidRDefault="009F658E" w:rsidP="00C963CC">
            <w:pPr>
              <w:pStyle w:val="TitlePagetext"/>
            </w:pPr>
            <w:bookmarkStart w:id="17" w:name="HearingType"/>
            <w:bookmarkEnd w:id="17"/>
            <w:r>
              <w:t xml:space="preserve">Hearing </w:t>
            </w:r>
          </w:p>
        </w:tc>
      </w:tr>
      <w:tr w:rsidR="00E200CF" w14:paraId="147C19A0" w14:textId="77777777" w:rsidTr="00C963CC">
        <w:tc>
          <w:tcPr>
            <w:tcW w:w="2084" w:type="pct"/>
          </w:tcPr>
          <w:p w14:paraId="163A6EF9" w14:textId="77777777" w:rsidR="00E200CF" w:rsidRDefault="00E200CF" w:rsidP="00C963CC">
            <w:pPr>
              <w:pStyle w:val="TitlePage2"/>
            </w:pPr>
            <w:r>
              <w:t>DATE OF HEARING</w:t>
            </w:r>
          </w:p>
        </w:tc>
        <w:tc>
          <w:tcPr>
            <w:tcW w:w="2916" w:type="pct"/>
          </w:tcPr>
          <w:p w14:paraId="5AC00B3D" w14:textId="011CAD5A" w:rsidR="00E200CF" w:rsidRDefault="007207E0" w:rsidP="00C963CC">
            <w:pPr>
              <w:pStyle w:val="TitlePagetext"/>
            </w:pPr>
            <w:bookmarkStart w:id="18" w:name="HearingDate"/>
            <w:bookmarkEnd w:id="18"/>
            <w:r>
              <w:t>16 October 2020</w:t>
            </w:r>
          </w:p>
        </w:tc>
      </w:tr>
      <w:tr w:rsidR="00E200CF" w14:paraId="0D20DA23" w14:textId="77777777" w:rsidTr="00C963CC">
        <w:tc>
          <w:tcPr>
            <w:tcW w:w="2084" w:type="pct"/>
          </w:tcPr>
          <w:p w14:paraId="77EFC944" w14:textId="77777777" w:rsidR="00E200CF" w:rsidRDefault="00E200CF" w:rsidP="00C963CC">
            <w:pPr>
              <w:pStyle w:val="TitlePage2"/>
            </w:pPr>
            <w:r>
              <w:t>DATE OF ORDER</w:t>
            </w:r>
          </w:p>
        </w:tc>
        <w:tc>
          <w:tcPr>
            <w:tcW w:w="2916" w:type="pct"/>
          </w:tcPr>
          <w:p w14:paraId="4509341B" w14:textId="4330E5AA" w:rsidR="00E200CF" w:rsidRDefault="00EB4E04" w:rsidP="00C963CC">
            <w:pPr>
              <w:pStyle w:val="TitlePagetext"/>
            </w:pPr>
            <w:bookmarkStart w:id="19" w:name="DateOrder"/>
            <w:bookmarkEnd w:id="19"/>
            <w:r>
              <w:t xml:space="preserve">27 January </w:t>
            </w:r>
            <w:r w:rsidR="005D5092">
              <w:t>2021</w:t>
            </w:r>
          </w:p>
        </w:tc>
      </w:tr>
      <w:tr w:rsidR="00E200CF" w14:paraId="06C1C874" w14:textId="77777777" w:rsidTr="00C963CC">
        <w:tc>
          <w:tcPr>
            <w:tcW w:w="2084" w:type="pct"/>
          </w:tcPr>
          <w:p w14:paraId="405D1A86" w14:textId="77777777" w:rsidR="00E200CF" w:rsidRDefault="00E200CF" w:rsidP="00C963CC">
            <w:pPr>
              <w:pStyle w:val="TitlePage2"/>
            </w:pPr>
            <w:r>
              <w:t>CITATION</w:t>
            </w:r>
          </w:p>
        </w:tc>
        <w:tc>
          <w:tcPr>
            <w:tcW w:w="2916" w:type="pct"/>
          </w:tcPr>
          <w:p w14:paraId="4ECF6E28" w14:textId="5106C14F" w:rsidR="00E200CF" w:rsidRDefault="005D5092" w:rsidP="00C963CC">
            <w:pPr>
              <w:pStyle w:val="TitlePagetext"/>
            </w:pPr>
            <w:r>
              <w:t>Tang v Monash CC [2021] VCAT 58</w:t>
            </w:r>
          </w:p>
        </w:tc>
      </w:tr>
    </w:tbl>
    <w:p w14:paraId="5333CE66" w14:textId="291B3D3C" w:rsidR="00E200CF" w:rsidRDefault="00E200CF" w:rsidP="00E200CF"/>
    <w:p w14:paraId="1402EF0E" w14:textId="77777777" w:rsidR="003024B4" w:rsidRDefault="003024B4" w:rsidP="003024B4">
      <w:pPr>
        <w:pStyle w:val="Heading1"/>
      </w:pPr>
      <w:r>
        <w:t>Order</w:t>
      </w:r>
    </w:p>
    <w:p w14:paraId="454FA152" w14:textId="77777777" w:rsidR="00995E70" w:rsidRDefault="00995E70" w:rsidP="00995E70">
      <w:pPr>
        <w:pStyle w:val="Heading3"/>
      </w:pPr>
      <w:r>
        <w:t>Conditions changed</w:t>
      </w:r>
    </w:p>
    <w:p w14:paraId="1AECA653" w14:textId="20B81864" w:rsidR="00995E70" w:rsidRPr="00D977A5" w:rsidRDefault="00995E70" w:rsidP="00995E70">
      <w:pPr>
        <w:pStyle w:val="Order2"/>
      </w:pPr>
      <w:r w:rsidRPr="00D977A5">
        <w:t>The decision of the responsible authority is varied.</w:t>
      </w:r>
    </w:p>
    <w:p w14:paraId="03B58856" w14:textId="29EACD74" w:rsidR="00995E70" w:rsidRPr="00D977A5" w:rsidRDefault="00995E70" w:rsidP="00995E70">
      <w:pPr>
        <w:pStyle w:val="Order2"/>
      </w:pPr>
      <w:r w:rsidRPr="00D977A5">
        <w:t xml:space="preserve">The Tribunal directs that planning permit </w:t>
      </w:r>
      <w:r w:rsidR="002E5080" w:rsidRPr="002E5080">
        <w:t>TPA/50195</w:t>
      </w:r>
      <w:r w:rsidR="002E5080">
        <w:t xml:space="preserve"> </w:t>
      </w:r>
      <w:r w:rsidRPr="00D977A5">
        <w:t xml:space="preserve">must contain the conditions set out in planning permit </w:t>
      </w:r>
      <w:r w:rsidR="002E5080" w:rsidRPr="002E5080">
        <w:t>TPA/50195</w:t>
      </w:r>
      <w:r w:rsidR="002E5080">
        <w:t xml:space="preserve"> </w:t>
      </w:r>
      <w:r w:rsidRPr="00D977A5">
        <w:t xml:space="preserve">issued by the responsible authority on </w:t>
      </w:r>
      <w:r w:rsidR="00313FC1">
        <w:t>18 September 2019</w:t>
      </w:r>
      <w:r w:rsidRPr="00D977A5">
        <w:t xml:space="preserve"> with the following modifications:</w:t>
      </w:r>
    </w:p>
    <w:p w14:paraId="2F9DDA72" w14:textId="5D5D575C" w:rsidR="003D34FE" w:rsidRDefault="003D34FE" w:rsidP="003D34FE">
      <w:pPr>
        <w:pStyle w:val="Order2"/>
        <w:numPr>
          <w:ilvl w:val="1"/>
          <w:numId w:val="8"/>
        </w:numPr>
      </w:pPr>
      <w:r w:rsidRPr="007F669A">
        <w:t xml:space="preserve">Conditions </w:t>
      </w:r>
      <w:r>
        <w:t xml:space="preserve">1(a), </w:t>
      </w:r>
      <w:r w:rsidRPr="007F669A">
        <w:t>8, 9, 10 and 11 are deleted.</w:t>
      </w:r>
    </w:p>
    <w:p w14:paraId="09661769" w14:textId="77777777" w:rsidR="007A547E" w:rsidRDefault="007A547E" w:rsidP="007A547E">
      <w:pPr>
        <w:pStyle w:val="Order2"/>
        <w:numPr>
          <w:ilvl w:val="1"/>
          <w:numId w:val="8"/>
        </w:numPr>
      </w:pPr>
      <w:r>
        <w:t>N</w:t>
      </w:r>
      <w:r w:rsidRPr="00B015E6">
        <w:t>ew condition</w:t>
      </w:r>
      <w:r>
        <w:t>s</w:t>
      </w:r>
      <w:r w:rsidRPr="00B015E6">
        <w:t xml:space="preserve"> </w:t>
      </w:r>
      <w:r>
        <w:t>are</w:t>
      </w:r>
      <w:r w:rsidRPr="00B015E6">
        <w:t xml:space="preserve"> included as follows:</w:t>
      </w:r>
    </w:p>
    <w:p w14:paraId="2E935EFF" w14:textId="77777777" w:rsidR="00220762" w:rsidRDefault="007A547E" w:rsidP="0074606B">
      <w:pPr>
        <w:pStyle w:val="Quote2"/>
      </w:pPr>
      <w:r>
        <w:t>1(a)</w:t>
      </w:r>
      <w:r>
        <w:tab/>
      </w:r>
      <w:r w:rsidR="0039778F">
        <w:t xml:space="preserve">The detailed design of the </w:t>
      </w:r>
      <w:r w:rsidR="00220762">
        <w:t xml:space="preserve">building </w:t>
      </w:r>
      <w:r w:rsidR="0039778F">
        <w:t>fa</w:t>
      </w:r>
      <w:r w:rsidR="00220762">
        <w:t>c</w:t>
      </w:r>
      <w:r w:rsidR="0039778F">
        <w:t>ade</w:t>
      </w:r>
      <w:r w:rsidR="00220762">
        <w:t>s to be modified as follows:</w:t>
      </w:r>
    </w:p>
    <w:p w14:paraId="2A0DA06B" w14:textId="2B05C24B" w:rsidR="00A00C55" w:rsidRPr="0039778F" w:rsidRDefault="00276B5A" w:rsidP="0074606B">
      <w:pPr>
        <w:pStyle w:val="Quote3"/>
      </w:pPr>
      <w:r>
        <w:t>t</w:t>
      </w:r>
      <w:r w:rsidR="00A00C55" w:rsidRPr="0039778F">
        <w:t xml:space="preserve">he moulding around </w:t>
      </w:r>
      <w:r w:rsidR="00CC4A6E" w:rsidRPr="0039778F">
        <w:t>the top of the ground floor level walls</w:t>
      </w:r>
      <w:r w:rsidR="00CC4A6E">
        <w:t xml:space="preserve"> </w:t>
      </w:r>
      <w:r>
        <w:t>and</w:t>
      </w:r>
      <w:r w:rsidR="00CC4A6E" w:rsidRPr="0039778F">
        <w:t xml:space="preserve"> </w:t>
      </w:r>
      <w:r w:rsidR="00A00C55" w:rsidRPr="0039778F">
        <w:t>the top of the first floor level wall</w:t>
      </w:r>
      <w:r w:rsidR="003351C1">
        <w:t>s</w:t>
      </w:r>
      <w:r w:rsidR="00A00C55" w:rsidRPr="0039778F">
        <w:t xml:space="preserve"> (on the underside of the roof) to be removed</w:t>
      </w:r>
      <w:r>
        <w:t>; and</w:t>
      </w:r>
    </w:p>
    <w:p w14:paraId="54F98339" w14:textId="61E662BC" w:rsidR="000120B8" w:rsidRPr="0039778F" w:rsidRDefault="00276B5A" w:rsidP="0074606B">
      <w:pPr>
        <w:pStyle w:val="Quote3"/>
      </w:pPr>
      <w:r>
        <w:t>t</w:t>
      </w:r>
      <w:r w:rsidR="000120B8" w:rsidRPr="0039778F">
        <w:t xml:space="preserve">he metal balustrade across the first floor level windows to be simplified to be </w:t>
      </w:r>
      <w:r w:rsidR="00BD5C7C">
        <w:t>straight</w:t>
      </w:r>
      <w:r w:rsidR="000120B8" w:rsidRPr="0039778F">
        <w:t xml:space="preserve"> vertical </w:t>
      </w:r>
      <w:r w:rsidRPr="0039778F">
        <w:t xml:space="preserve">or horizontal </w:t>
      </w:r>
      <w:r w:rsidR="000120B8" w:rsidRPr="0039778F">
        <w:t>rails</w:t>
      </w:r>
      <w:r w:rsidR="004A11D0">
        <w:t xml:space="preserve"> or similar</w:t>
      </w:r>
      <w:r w:rsidR="0071622F">
        <w:t>, or otherwise removed</w:t>
      </w:r>
      <w:r w:rsidR="000120B8" w:rsidRPr="0039778F">
        <w:t>.</w:t>
      </w:r>
    </w:p>
    <w:p w14:paraId="171E7B8A" w14:textId="329244C2" w:rsidR="00E97DCE" w:rsidRPr="00E97DCE" w:rsidRDefault="0040062C" w:rsidP="00E97DCE">
      <w:pPr>
        <w:pStyle w:val="Quote2"/>
      </w:pPr>
      <w:r>
        <w:rPr>
          <w:noProof/>
        </w:rPr>
        <w:lastRenderedPageBreak/>
        <w:drawing>
          <wp:anchor distT="0" distB="0" distL="114300" distR="114300" simplePos="0" relativeHeight="251659264" behindDoc="1" locked="0" layoutInCell="1" allowOverlap="1" wp14:anchorId="30649933" wp14:editId="01DA61BC">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120B8" w:rsidRPr="0039778F">
        <w:t>1(</w:t>
      </w:r>
      <w:r w:rsidR="00E97DCE">
        <w:t>b</w:t>
      </w:r>
      <w:r w:rsidR="000120B8" w:rsidRPr="0039778F">
        <w:t>)</w:t>
      </w:r>
      <w:r w:rsidR="000120B8" w:rsidRPr="0039778F">
        <w:tab/>
      </w:r>
      <w:r w:rsidR="007A547E" w:rsidRPr="00E97DCE">
        <w:t xml:space="preserve">Roof eaves to be provided at </w:t>
      </w:r>
      <w:r w:rsidR="00BD5C7C" w:rsidRPr="00E97DCE">
        <w:t xml:space="preserve">either </w:t>
      </w:r>
      <w:r w:rsidR="007A547E" w:rsidRPr="00E97DCE">
        <w:t>ground floor or first floor level.</w:t>
      </w:r>
    </w:p>
    <w:p w14:paraId="77544D22" w14:textId="3DEAD924" w:rsidR="00CF236C" w:rsidRPr="00B015E6" w:rsidRDefault="00CF236C" w:rsidP="00995E70">
      <w:pPr>
        <w:pStyle w:val="Order2"/>
        <w:numPr>
          <w:ilvl w:val="1"/>
          <w:numId w:val="8"/>
        </w:numPr>
      </w:pPr>
      <w:r>
        <w:t>A new condition is included as follows:</w:t>
      </w:r>
    </w:p>
    <w:p w14:paraId="60195840" w14:textId="3DB99108" w:rsidR="004400D7" w:rsidRDefault="002E4DCA" w:rsidP="004400D7">
      <w:pPr>
        <w:pStyle w:val="Quote2"/>
      </w:pPr>
      <w:r w:rsidRPr="00B015E6">
        <w:t>8</w:t>
      </w:r>
      <w:r w:rsidR="00995E70" w:rsidRPr="00B015E6">
        <w:tab/>
      </w:r>
      <w:r w:rsidR="00693EB4" w:rsidRPr="00B015E6">
        <w:tab/>
      </w:r>
      <w:r w:rsidR="004400D7">
        <w:t xml:space="preserve">All stormwater generated from water falling on the impervious surfaces of the site </w:t>
      </w:r>
      <w:r w:rsidR="00BD4BCF">
        <w:t xml:space="preserve">must </w:t>
      </w:r>
      <w:r w:rsidR="004400D7">
        <w:t xml:space="preserve">be collected and discharged, via an on-site stormwater retention system, into the point of discharge nominated by the responsible authority, and the rate of discharge </w:t>
      </w:r>
      <w:r w:rsidR="001808B3">
        <w:t xml:space="preserve">must </w:t>
      </w:r>
      <w:r w:rsidR="004400D7">
        <w:t>be limited to the design discharge for the site prior to development or redevelopment; or</w:t>
      </w:r>
      <w:r w:rsidR="001808B3" w:rsidRPr="001808B3">
        <w:t xml:space="preserve"> </w:t>
      </w:r>
      <w:r w:rsidR="001808B3">
        <w:t>otherwise</w:t>
      </w:r>
    </w:p>
    <w:p w14:paraId="5FEF3D49" w14:textId="2505315D" w:rsidR="00693EB4" w:rsidRDefault="004400D7" w:rsidP="004400D7">
      <w:pPr>
        <w:pStyle w:val="Quote2"/>
        <w:ind w:firstLine="0"/>
        <w:rPr>
          <w:highlight w:val="yellow"/>
        </w:rPr>
      </w:pPr>
      <w:r>
        <w:t xml:space="preserve">All stormwater generated from water falling on the impervious surfaces of the site </w:t>
      </w:r>
      <w:r w:rsidR="001808B3">
        <w:t xml:space="preserve">to </w:t>
      </w:r>
      <w:r>
        <w:t>be managed and drained to the satisfaction of the responsible authority.</w:t>
      </w:r>
    </w:p>
    <w:p w14:paraId="77125FC4" w14:textId="77777777" w:rsidR="00995E70" w:rsidRPr="00BC04E1" w:rsidRDefault="00995E70" w:rsidP="00995E70">
      <w:pPr>
        <w:pStyle w:val="Order2"/>
        <w:numPr>
          <w:ilvl w:val="1"/>
          <w:numId w:val="8"/>
        </w:numPr>
      </w:pPr>
      <w:r w:rsidRPr="00BC04E1">
        <w:t>Conditions in the planning permit are renumbered accordingly.</w:t>
      </w:r>
    </w:p>
    <w:p w14:paraId="16F0DA51" w14:textId="77777777" w:rsidR="00995E70" w:rsidRPr="00BC04E1" w:rsidRDefault="00995E70" w:rsidP="00995E70">
      <w:pPr>
        <w:pStyle w:val="Order2"/>
      </w:pPr>
      <w:r w:rsidRPr="00BC04E1">
        <w:t xml:space="preserve">The responsible authority is directed to issue a modified planning permit in accordance with this order. </w:t>
      </w:r>
    </w:p>
    <w:p w14:paraId="125CDF9B" w14:textId="79617FDE" w:rsidR="00D86EEE" w:rsidRDefault="00D86EEE" w:rsidP="00E200CF"/>
    <w:p w14:paraId="2C7356B2" w14:textId="5BD28386" w:rsidR="00D86EEE" w:rsidRDefault="00D86EEE" w:rsidP="00E200CF"/>
    <w:p w14:paraId="360C8106" w14:textId="6B417004" w:rsidR="00D86EEE" w:rsidRDefault="00D86EEE" w:rsidP="00E200CF"/>
    <w:p w14:paraId="1DECB627" w14:textId="77777777" w:rsidR="007F669A" w:rsidRDefault="007F669A" w:rsidP="007F669A"/>
    <w:tbl>
      <w:tblPr>
        <w:tblW w:w="4999" w:type="pct"/>
        <w:tblLook w:val="0000" w:firstRow="0" w:lastRow="0" w:firstColumn="0" w:lastColumn="0" w:noHBand="0" w:noVBand="0"/>
      </w:tblPr>
      <w:tblGrid>
        <w:gridCol w:w="3561"/>
        <w:gridCol w:w="1935"/>
        <w:gridCol w:w="3007"/>
      </w:tblGrid>
      <w:tr w:rsidR="007F669A" w14:paraId="1779B24C" w14:textId="77777777" w:rsidTr="006E109D">
        <w:tc>
          <w:tcPr>
            <w:tcW w:w="2094" w:type="pct"/>
          </w:tcPr>
          <w:p w14:paraId="1D14C6A5" w14:textId="7799E852" w:rsidR="007F669A" w:rsidRPr="006E774E" w:rsidRDefault="007F669A" w:rsidP="006E109D">
            <w:pPr>
              <w:tabs>
                <w:tab w:val="left" w:pos="1515"/>
              </w:tabs>
              <w:spacing w:before="80" w:after="100"/>
              <w:rPr>
                <w:rFonts w:ascii="Times New Roman Bold" w:hAnsi="Times New Roman Bold"/>
                <w:b/>
              </w:rPr>
            </w:pPr>
            <w:r>
              <w:rPr>
                <w:rFonts w:ascii="Times New Roman Bold" w:hAnsi="Times New Roman Bold"/>
                <w:b/>
              </w:rPr>
              <w:t>S</w:t>
            </w:r>
            <w:r w:rsidRPr="006E774E">
              <w:rPr>
                <w:rFonts w:ascii="Times New Roman Bold" w:hAnsi="Times New Roman Bold"/>
                <w:b/>
              </w:rPr>
              <w:t xml:space="preserve"> McDonald</w:t>
            </w:r>
            <w:r>
              <w:rPr>
                <w:rFonts w:ascii="Times New Roman Bold" w:hAnsi="Times New Roman Bold"/>
                <w:b/>
              </w:rPr>
              <w:br/>
            </w:r>
            <w:r w:rsidRPr="006E774E">
              <w:rPr>
                <w:rFonts w:ascii="Times New Roman Bold" w:hAnsi="Times New Roman Bold"/>
                <w:b/>
              </w:rPr>
              <w:t>Member</w:t>
            </w:r>
          </w:p>
        </w:tc>
        <w:tc>
          <w:tcPr>
            <w:tcW w:w="1138" w:type="pct"/>
          </w:tcPr>
          <w:p w14:paraId="41155E90" w14:textId="77777777" w:rsidR="007F669A" w:rsidRDefault="007F669A" w:rsidP="006E109D"/>
        </w:tc>
        <w:tc>
          <w:tcPr>
            <w:tcW w:w="1768" w:type="pct"/>
          </w:tcPr>
          <w:p w14:paraId="6BD9A41C" w14:textId="77777777" w:rsidR="007F669A" w:rsidRDefault="007F669A" w:rsidP="006E109D"/>
        </w:tc>
      </w:tr>
    </w:tbl>
    <w:p w14:paraId="32B9C548" w14:textId="77777777" w:rsidR="007F669A" w:rsidRDefault="007F669A" w:rsidP="007F669A"/>
    <w:p w14:paraId="48733739" w14:textId="66728121" w:rsidR="009E4DE5" w:rsidRDefault="009E4DE5" w:rsidP="00E200CF"/>
    <w:p w14:paraId="51D0CC31" w14:textId="523661A5" w:rsidR="007F669A" w:rsidRDefault="007F669A" w:rsidP="00E200CF"/>
    <w:p w14:paraId="0B4CDBB9" w14:textId="77777777" w:rsidR="007F669A" w:rsidRDefault="007F669A" w:rsidP="00E200CF"/>
    <w:p w14:paraId="7DBD5679" w14:textId="715B8BF0" w:rsidR="00E200CF" w:rsidRDefault="00E200CF" w:rsidP="00E200CF">
      <w:pPr>
        <w:pStyle w:val="Heading1"/>
        <w:rPr>
          <w:highlight w:val="yellow"/>
        </w:rPr>
      </w:pPr>
      <w:bookmarkStart w:id="20" w:name="DELappearances"/>
      <w:r>
        <w:t>Appearances</w:t>
      </w:r>
      <w:r w:rsidR="00385C98">
        <w:rPr>
          <w:rStyle w:val="FootnoteReference"/>
        </w:rPr>
        <w:footnoteReference w:id="1"/>
      </w:r>
    </w:p>
    <w:tbl>
      <w:tblPr>
        <w:tblW w:w="5000" w:type="pct"/>
        <w:tblLook w:val="0000" w:firstRow="0" w:lastRow="0" w:firstColumn="0" w:lastColumn="0" w:noHBand="0" w:noVBand="0"/>
      </w:tblPr>
      <w:tblGrid>
        <w:gridCol w:w="3441"/>
        <w:gridCol w:w="5064"/>
      </w:tblGrid>
      <w:tr w:rsidR="00E200CF" w14:paraId="1BCCF278" w14:textId="77777777" w:rsidTr="00C963CC">
        <w:trPr>
          <w:cantSplit/>
        </w:trPr>
        <w:tc>
          <w:tcPr>
            <w:tcW w:w="2023" w:type="pct"/>
          </w:tcPr>
          <w:p w14:paraId="63AB4868" w14:textId="77777777" w:rsidR="00E200CF" w:rsidRDefault="00E200CF" w:rsidP="00C963CC">
            <w:pPr>
              <w:pStyle w:val="TitlePagetext"/>
            </w:pPr>
            <w:r>
              <w:t>For applicant</w:t>
            </w:r>
          </w:p>
        </w:tc>
        <w:tc>
          <w:tcPr>
            <w:tcW w:w="2977" w:type="pct"/>
          </w:tcPr>
          <w:p w14:paraId="3D059FB7" w14:textId="1C3C6238" w:rsidR="00E200CF" w:rsidRDefault="007207E0" w:rsidP="00C963CC">
            <w:pPr>
              <w:pStyle w:val="TitlePagetext"/>
            </w:pPr>
            <w:r w:rsidRPr="007207E0">
              <w:t xml:space="preserve">Mr How Ng, </w:t>
            </w:r>
            <w:r>
              <w:t xml:space="preserve">town planner, </w:t>
            </w:r>
            <w:r>
              <w:br/>
            </w:r>
            <w:r w:rsidRPr="007207E0">
              <w:t>Melbourne Planning</w:t>
            </w:r>
          </w:p>
        </w:tc>
      </w:tr>
      <w:tr w:rsidR="00E200CF" w14:paraId="2920EC5C" w14:textId="77777777" w:rsidTr="00C963CC">
        <w:trPr>
          <w:cantSplit/>
        </w:trPr>
        <w:tc>
          <w:tcPr>
            <w:tcW w:w="2023" w:type="pct"/>
          </w:tcPr>
          <w:p w14:paraId="207EA7E8" w14:textId="77777777" w:rsidR="00E200CF" w:rsidRDefault="00E200CF" w:rsidP="00C963CC">
            <w:pPr>
              <w:pStyle w:val="TitlePagetext"/>
            </w:pPr>
            <w:r>
              <w:t>For responsible authority</w:t>
            </w:r>
          </w:p>
        </w:tc>
        <w:tc>
          <w:tcPr>
            <w:tcW w:w="2977" w:type="pct"/>
          </w:tcPr>
          <w:p w14:paraId="35FC3F9B" w14:textId="416E5E4E" w:rsidR="00E200CF" w:rsidRDefault="007207E0" w:rsidP="007207E0">
            <w:pPr>
              <w:pStyle w:val="TitlePagetext"/>
            </w:pPr>
            <w:r>
              <w:t>Melissa Sahai, town planner,</w:t>
            </w:r>
            <w:r>
              <w:br/>
              <w:t>Monash City Council</w:t>
            </w:r>
          </w:p>
        </w:tc>
      </w:tr>
      <w:bookmarkEnd w:id="20"/>
    </w:tbl>
    <w:p w14:paraId="73190193" w14:textId="77777777" w:rsidR="00E200CF" w:rsidRDefault="00E200CF" w:rsidP="00E200CF"/>
    <w:p w14:paraId="3CD924F8" w14:textId="77777777" w:rsidR="00E200CF" w:rsidRDefault="00E200CF" w:rsidP="00E200CF"/>
    <w:p w14:paraId="716C2199" w14:textId="77777777" w:rsidR="00E200CF" w:rsidRDefault="00E200CF" w:rsidP="00E200CF">
      <w:r>
        <w:br w:type="page"/>
      </w:r>
    </w:p>
    <w:p w14:paraId="5C51CCD0" w14:textId="17D7621B" w:rsidR="00E200CF" w:rsidRDefault="0040062C" w:rsidP="00E200CF">
      <w:pPr>
        <w:pStyle w:val="Heading1"/>
        <w:rPr>
          <w:highlight w:val="yellow"/>
        </w:rPr>
      </w:pPr>
      <w:r>
        <w:rPr>
          <w:noProof/>
        </w:rPr>
        <w:lastRenderedPageBreak/>
        <w:drawing>
          <wp:anchor distT="0" distB="0" distL="114300" distR="114300" simplePos="0" relativeHeight="251660288" behindDoc="1" locked="0" layoutInCell="1" allowOverlap="1" wp14:anchorId="3CDB66FF" wp14:editId="7BFC8DEC">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14:paraId="59E7F24F" w14:textId="77777777" w:rsidTr="00C963CC">
        <w:trPr>
          <w:cantSplit/>
        </w:trPr>
        <w:tc>
          <w:tcPr>
            <w:tcW w:w="1924" w:type="pct"/>
          </w:tcPr>
          <w:p w14:paraId="492B267F" w14:textId="77777777" w:rsidR="00E200CF" w:rsidRDefault="00E200CF" w:rsidP="00C963CC">
            <w:pPr>
              <w:pStyle w:val="TitlePagetext"/>
            </w:pPr>
            <w:r>
              <w:t>Description of proposal</w:t>
            </w:r>
          </w:p>
        </w:tc>
        <w:tc>
          <w:tcPr>
            <w:tcW w:w="3076" w:type="pct"/>
          </w:tcPr>
          <w:p w14:paraId="1770B54C" w14:textId="745F3492" w:rsidR="00E200CF" w:rsidRPr="00851E10" w:rsidRDefault="007207E0" w:rsidP="00C963CC">
            <w:pPr>
              <w:pStyle w:val="TitlePagetext"/>
            </w:pPr>
            <w:r>
              <w:t>Construction of two double</w:t>
            </w:r>
            <w:r w:rsidR="00BC72CF">
              <w:t>-</w:t>
            </w:r>
            <w:r>
              <w:t>storey dwellings.</w:t>
            </w:r>
          </w:p>
        </w:tc>
      </w:tr>
      <w:tr w:rsidR="00E200CF" w14:paraId="129EFFA5" w14:textId="77777777" w:rsidTr="00C963CC">
        <w:trPr>
          <w:cantSplit/>
        </w:trPr>
        <w:tc>
          <w:tcPr>
            <w:tcW w:w="1924" w:type="pct"/>
          </w:tcPr>
          <w:p w14:paraId="3247A867" w14:textId="77777777" w:rsidR="00E200CF" w:rsidRDefault="00E200CF" w:rsidP="00C963CC">
            <w:pPr>
              <w:pStyle w:val="TitlePagetext"/>
            </w:pPr>
            <w:r>
              <w:t>Nature of proceeding</w:t>
            </w:r>
          </w:p>
        </w:tc>
        <w:tc>
          <w:tcPr>
            <w:tcW w:w="3076" w:type="pct"/>
          </w:tcPr>
          <w:p w14:paraId="3485F89A" w14:textId="7FFE409A" w:rsidR="00E200CF" w:rsidRPr="00851E10" w:rsidRDefault="000003F2" w:rsidP="006971EE">
            <w:pPr>
              <w:pStyle w:val="TitlePagetext"/>
            </w:pPr>
            <w:r>
              <w:t xml:space="preserve">Application under section 80 of the </w:t>
            </w:r>
            <w:r>
              <w:rPr>
                <w:i/>
              </w:rPr>
              <w:t>Planning and Environment Act 1987</w:t>
            </w:r>
            <w:r>
              <w:t xml:space="preserve"> – to review the conditions contained in the permit.</w:t>
            </w:r>
          </w:p>
        </w:tc>
      </w:tr>
      <w:tr w:rsidR="00E200CF" w14:paraId="1206AFFA" w14:textId="77777777" w:rsidTr="00C963CC">
        <w:trPr>
          <w:cantSplit/>
        </w:trPr>
        <w:tc>
          <w:tcPr>
            <w:tcW w:w="1924" w:type="pct"/>
          </w:tcPr>
          <w:p w14:paraId="78C20C4B" w14:textId="77777777" w:rsidR="00E200CF" w:rsidRPr="005C699E" w:rsidRDefault="00E200CF" w:rsidP="00C963CC">
            <w:pPr>
              <w:pStyle w:val="TitlePagetext"/>
            </w:pPr>
            <w:r>
              <w:t>Planning scheme</w:t>
            </w:r>
          </w:p>
        </w:tc>
        <w:tc>
          <w:tcPr>
            <w:tcW w:w="3076" w:type="pct"/>
          </w:tcPr>
          <w:p w14:paraId="475E91A8" w14:textId="6CDE2568" w:rsidR="00E200CF" w:rsidRPr="00851E10" w:rsidRDefault="007207E0" w:rsidP="00C963CC">
            <w:pPr>
              <w:pStyle w:val="TitlePagetext"/>
            </w:pPr>
            <w:r>
              <w:t>Monash Planning Scheme (</w:t>
            </w:r>
            <w:r w:rsidRPr="007207E0">
              <w:rPr>
                <w:b/>
                <w:bCs/>
              </w:rPr>
              <w:t>planning scheme</w:t>
            </w:r>
            <w:r>
              <w:t>).</w:t>
            </w:r>
          </w:p>
        </w:tc>
      </w:tr>
      <w:tr w:rsidR="00E200CF" w14:paraId="7621AC69" w14:textId="77777777" w:rsidTr="00C963CC">
        <w:trPr>
          <w:cantSplit/>
        </w:trPr>
        <w:tc>
          <w:tcPr>
            <w:tcW w:w="1924" w:type="pct"/>
          </w:tcPr>
          <w:p w14:paraId="2599CA69" w14:textId="77777777" w:rsidR="00E200CF" w:rsidRDefault="00E200CF" w:rsidP="00C963CC">
            <w:pPr>
              <w:pStyle w:val="TitlePagetext"/>
            </w:pPr>
            <w:r w:rsidRPr="005C699E">
              <w:t xml:space="preserve">Zone and </w:t>
            </w:r>
            <w:r>
              <w:t>o</w:t>
            </w:r>
            <w:r w:rsidRPr="005C699E">
              <w:t>verlays</w:t>
            </w:r>
          </w:p>
        </w:tc>
        <w:tc>
          <w:tcPr>
            <w:tcW w:w="3076" w:type="pct"/>
          </w:tcPr>
          <w:p w14:paraId="17F6E7A7" w14:textId="79B36F01" w:rsidR="00D21143" w:rsidRPr="00851E10" w:rsidRDefault="007972E1" w:rsidP="000004C3">
            <w:pPr>
              <w:pStyle w:val="TitlePagetext"/>
            </w:pPr>
            <w:r w:rsidRPr="007972E1">
              <w:t>Neighbourhood Residential Zone – Schedule 4</w:t>
            </w:r>
            <w:r>
              <w:t xml:space="preserve"> </w:t>
            </w:r>
            <w:r w:rsidR="00F22CF3">
              <w:t>(</w:t>
            </w:r>
            <w:r w:rsidR="00F22CF3" w:rsidRPr="00F22CF3">
              <w:t>Dandenong Valley Escarpment Areas</w:t>
            </w:r>
            <w:r w:rsidR="00F22CF3">
              <w:t>)</w:t>
            </w:r>
            <w:r w:rsidR="00F22CF3" w:rsidRPr="00F22CF3">
              <w:t xml:space="preserve"> </w:t>
            </w:r>
            <w:r>
              <w:t>(</w:t>
            </w:r>
            <w:r w:rsidRPr="007972E1">
              <w:rPr>
                <w:b/>
                <w:bCs/>
              </w:rPr>
              <w:t>NRZ4</w:t>
            </w:r>
            <w:r>
              <w:t>)</w:t>
            </w:r>
            <w:r w:rsidR="00313883">
              <w:br/>
            </w:r>
            <w:r w:rsidR="00D21143" w:rsidRPr="00D21143">
              <w:t>Vegetation Protection Overlay</w:t>
            </w:r>
            <w:r w:rsidR="00AB57D1">
              <w:t xml:space="preserve"> </w:t>
            </w:r>
            <w:r w:rsidR="00D21143">
              <w:t>–</w:t>
            </w:r>
            <w:r w:rsidR="00AB57D1">
              <w:t xml:space="preserve"> </w:t>
            </w:r>
            <w:r w:rsidR="00D21143">
              <w:t>Schedule 1</w:t>
            </w:r>
            <w:r w:rsidR="008912BA">
              <w:t xml:space="preserve"> (</w:t>
            </w:r>
            <w:r w:rsidR="008912BA" w:rsidRPr="008912BA">
              <w:rPr>
                <w:b/>
                <w:bCs/>
              </w:rPr>
              <w:t>VPO1</w:t>
            </w:r>
            <w:r w:rsidR="008912BA">
              <w:t>).</w:t>
            </w:r>
          </w:p>
        </w:tc>
      </w:tr>
      <w:tr w:rsidR="00E200CF" w14:paraId="0746A0DE" w14:textId="77777777" w:rsidTr="00C963CC">
        <w:trPr>
          <w:cantSplit/>
        </w:trPr>
        <w:tc>
          <w:tcPr>
            <w:tcW w:w="1924" w:type="pct"/>
          </w:tcPr>
          <w:p w14:paraId="04E02193" w14:textId="77777777" w:rsidR="00E200CF" w:rsidRPr="005C699E" w:rsidRDefault="00E200CF" w:rsidP="00C963CC">
            <w:pPr>
              <w:pStyle w:val="TitlePagetext"/>
            </w:pPr>
            <w:r>
              <w:t>Permit requirements</w:t>
            </w:r>
          </w:p>
        </w:tc>
        <w:tc>
          <w:tcPr>
            <w:tcW w:w="3076" w:type="pct"/>
          </w:tcPr>
          <w:p w14:paraId="2574A765" w14:textId="137AC5D4" w:rsidR="00C1567D" w:rsidRPr="00C1567D" w:rsidRDefault="00682405" w:rsidP="00682405">
            <w:pPr>
              <w:pStyle w:val="TitlePagetext"/>
            </w:pPr>
            <w:r>
              <w:t>Clause 32.09-6: To construct two or more dwellings on a lot in the NRZ4.</w:t>
            </w:r>
          </w:p>
        </w:tc>
      </w:tr>
      <w:tr w:rsidR="000003F2" w14:paraId="7D00DF35" w14:textId="77777777" w:rsidTr="00C963CC">
        <w:trPr>
          <w:cantSplit/>
        </w:trPr>
        <w:tc>
          <w:tcPr>
            <w:tcW w:w="1924" w:type="pct"/>
          </w:tcPr>
          <w:p w14:paraId="3B960997" w14:textId="21BA7B86" w:rsidR="000003F2" w:rsidRDefault="005A26B1" w:rsidP="00C963CC">
            <w:pPr>
              <w:pStyle w:val="TitlePagetext"/>
            </w:pPr>
            <w:r>
              <w:t xml:space="preserve">Key planning </w:t>
            </w:r>
            <w:r w:rsidR="000003F2">
              <w:t>scheme policies and provisions</w:t>
            </w:r>
          </w:p>
        </w:tc>
        <w:tc>
          <w:tcPr>
            <w:tcW w:w="3076" w:type="pct"/>
          </w:tcPr>
          <w:p w14:paraId="05FAAE64" w14:textId="73B668DB" w:rsidR="000003F2" w:rsidRPr="00851E10" w:rsidRDefault="005A26B1" w:rsidP="00C963CC">
            <w:pPr>
              <w:pStyle w:val="TitlePagetext"/>
            </w:pPr>
            <w:r w:rsidRPr="009F5C01">
              <w:t xml:space="preserve">Clauses </w:t>
            </w:r>
            <w:r w:rsidR="009B5040" w:rsidRPr="009F5C01">
              <w:t>15, 21.04, 21.11, 22.01, 22.04, 32.09, 55, 65, and 71</w:t>
            </w:r>
            <w:r w:rsidR="00AB57D1">
              <w:t>.</w:t>
            </w:r>
          </w:p>
        </w:tc>
      </w:tr>
      <w:tr w:rsidR="00E200CF" w14:paraId="694ED685" w14:textId="77777777" w:rsidTr="00C963CC">
        <w:trPr>
          <w:cantSplit/>
        </w:trPr>
        <w:tc>
          <w:tcPr>
            <w:tcW w:w="1924" w:type="pct"/>
          </w:tcPr>
          <w:p w14:paraId="257FECE4" w14:textId="77777777" w:rsidR="00E200CF" w:rsidRDefault="00E200CF" w:rsidP="00C963CC">
            <w:pPr>
              <w:pStyle w:val="TitlePagetext"/>
            </w:pPr>
            <w:r>
              <w:t>Land description</w:t>
            </w:r>
          </w:p>
        </w:tc>
        <w:tc>
          <w:tcPr>
            <w:tcW w:w="3076" w:type="pct"/>
          </w:tcPr>
          <w:p w14:paraId="2C93F305" w14:textId="77777777" w:rsidR="007207E0" w:rsidRDefault="007207E0" w:rsidP="00C963CC">
            <w:pPr>
              <w:pStyle w:val="TitlePagetext"/>
            </w:pPr>
            <w:r>
              <w:t>The subject land is located on the western side of Ralton Avenue, Glen Waverley.  The land is rectangular, with frontage of 16.76 metres, depth of 45.21 metres, and area of 765 square metres.</w:t>
            </w:r>
          </w:p>
          <w:p w14:paraId="135F05A2" w14:textId="77777777" w:rsidR="007207E0" w:rsidRDefault="007207E0" w:rsidP="00C963CC">
            <w:pPr>
              <w:pStyle w:val="TitlePagetext"/>
            </w:pPr>
            <w:r>
              <w:t>The surrounding area is residential in nature, with a mix of single and double</w:t>
            </w:r>
            <w:r w:rsidR="007D29B3">
              <w:t>-</w:t>
            </w:r>
            <w:r>
              <w:t xml:space="preserve">storey dwellings.  There is a mix of detached houses and multi-dwelling developments, with a variety of </w:t>
            </w:r>
            <w:r w:rsidR="00DD5783">
              <w:t>ar</w:t>
            </w:r>
            <w:r w:rsidR="007D29B3">
              <w:t xml:space="preserve">chitectural </w:t>
            </w:r>
            <w:r>
              <w:t xml:space="preserve">styles.  The original housing stock is typically modest single storey cream brick houses.  More recent development typically </w:t>
            </w:r>
            <w:r w:rsidR="003F0B80">
              <w:t>comprises</w:t>
            </w:r>
            <w:r w:rsidR="00C16FBC">
              <w:t xml:space="preserve"> </w:t>
            </w:r>
            <w:r>
              <w:t>large double</w:t>
            </w:r>
            <w:r w:rsidR="007D29B3">
              <w:t>-</w:t>
            </w:r>
            <w:r>
              <w:t>storey detached houses or multi</w:t>
            </w:r>
            <w:r w:rsidR="007D29B3">
              <w:t>-</w:t>
            </w:r>
            <w:r>
              <w:t>dwelling development.</w:t>
            </w:r>
          </w:p>
          <w:p w14:paraId="37AFAB63" w14:textId="3F67C5C8" w:rsidR="005D3FDE" w:rsidRPr="00851E10" w:rsidRDefault="005D3FDE" w:rsidP="00C963CC">
            <w:pPr>
              <w:pStyle w:val="TitlePagetext"/>
            </w:pPr>
          </w:p>
        </w:tc>
      </w:tr>
    </w:tbl>
    <w:p w14:paraId="0A56ADE3" w14:textId="77777777" w:rsidR="00E200CF" w:rsidRDefault="00E200CF" w:rsidP="00E200CF">
      <w:pPr>
        <w:pStyle w:val="Order1"/>
      </w:pPr>
    </w:p>
    <w:p w14:paraId="3A599D14" w14:textId="274DE575" w:rsidR="00E200CF" w:rsidRDefault="00E200CF" w:rsidP="00E200CF">
      <w:pPr>
        <w:pStyle w:val="Heading1"/>
      </w:pPr>
      <w:r>
        <w:br w:type="page"/>
      </w:r>
      <w:r w:rsidR="0040062C">
        <w:rPr>
          <w:noProof/>
        </w:rPr>
        <w:lastRenderedPageBreak/>
        <w:drawing>
          <wp:anchor distT="0" distB="0" distL="114300" distR="114300" simplePos="0" relativeHeight="251661312" behindDoc="1" locked="0" layoutInCell="1" allowOverlap="1" wp14:anchorId="726880FC" wp14:editId="4E2BD5E6">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14:paraId="1AEBEA46" w14:textId="77777777" w:rsidR="00E200CF" w:rsidRDefault="00E200CF" w:rsidP="00E200CF">
      <w:pPr>
        <w:pStyle w:val="Heading2"/>
      </w:pPr>
      <w:r>
        <w:t xml:space="preserve">What is this </w:t>
      </w:r>
      <w:r w:rsidRPr="004413F4">
        <w:t>proceeding</w:t>
      </w:r>
      <w:r>
        <w:t xml:space="preserve"> about?</w:t>
      </w:r>
    </w:p>
    <w:p w14:paraId="63B35B8D" w14:textId="6C733640" w:rsidR="003F1A9A" w:rsidRDefault="003F1A9A" w:rsidP="00E200CF">
      <w:pPr>
        <w:pStyle w:val="Para1"/>
      </w:pPr>
      <w:r>
        <w:t xml:space="preserve">Mr Tang </w:t>
      </w:r>
      <w:r w:rsidR="00F4681F">
        <w:t>(</w:t>
      </w:r>
      <w:r>
        <w:t>the applicant</w:t>
      </w:r>
      <w:r w:rsidR="00F4681F">
        <w:t>)</w:t>
      </w:r>
      <w:r>
        <w:t xml:space="preserve"> has obtained a planning permit to construct two double</w:t>
      </w:r>
      <w:r w:rsidR="007D29B3">
        <w:t>-</w:t>
      </w:r>
      <w:r>
        <w:t xml:space="preserve">storey dwellings on the land </w:t>
      </w:r>
      <w:r w:rsidR="005419A5">
        <w:t>at 27 Ralton Avenue, Glen Waverley (the subject land).</w:t>
      </w:r>
      <w:r w:rsidR="00B914D1">
        <w:t xml:space="preserve">  The proposed dwellings are </w:t>
      </w:r>
      <w:r w:rsidR="00A03A97">
        <w:t>neo-Georgian in style.</w:t>
      </w:r>
    </w:p>
    <w:p w14:paraId="47D290CA" w14:textId="57DB53B0" w:rsidR="005419A5" w:rsidRPr="00BB7F9E" w:rsidRDefault="003F1A9A" w:rsidP="006E109D">
      <w:pPr>
        <w:pStyle w:val="Para1"/>
      </w:pPr>
      <w:r w:rsidRPr="00BB7F9E">
        <w:t xml:space="preserve">The applicant is seeking review of </w:t>
      </w:r>
      <w:r w:rsidR="00424863" w:rsidRPr="00BB7F9E">
        <w:t xml:space="preserve">permit </w:t>
      </w:r>
      <w:r w:rsidRPr="00BB7F9E">
        <w:t xml:space="preserve">condition </w:t>
      </w:r>
      <w:r w:rsidR="00424863" w:rsidRPr="00BB7F9E">
        <w:t xml:space="preserve">1(a) and </w:t>
      </w:r>
      <w:r w:rsidR="00D160A4" w:rsidRPr="00BB7F9E">
        <w:t>conditions 8 to 11</w:t>
      </w:r>
      <w:r w:rsidRPr="00BB7F9E">
        <w:t>.</w:t>
      </w:r>
      <w:r w:rsidR="00BB7F9E" w:rsidRPr="00BB7F9E">
        <w:t xml:space="preserve">  </w:t>
      </w:r>
      <w:r w:rsidR="00424863" w:rsidRPr="00BB7F9E">
        <w:t xml:space="preserve">Condition 1(a) requires </w:t>
      </w:r>
      <w:r w:rsidR="00314D65" w:rsidRPr="00BB7F9E">
        <w:t>changes to the design detail of the façade and the roof</w:t>
      </w:r>
      <w:r w:rsidR="00BB7F9E" w:rsidRPr="00BB7F9E">
        <w:t xml:space="preserve"> of the proposed buildings </w:t>
      </w:r>
      <w:r w:rsidR="00424863" w:rsidRPr="00BB7F9E">
        <w:t>to be modified.</w:t>
      </w:r>
      <w:r w:rsidR="00BB7F9E" w:rsidRPr="00BB7F9E">
        <w:t xml:space="preserve">  </w:t>
      </w:r>
      <w:r w:rsidR="00424863" w:rsidRPr="00BB7F9E">
        <w:t xml:space="preserve">Conditions 8 to 11 relate to the management of stormwater </w:t>
      </w:r>
      <w:r w:rsidR="00A0321B" w:rsidRPr="00BB7F9E">
        <w:t xml:space="preserve">on the </w:t>
      </w:r>
      <w:r w:rsidR="00424863" w:rsidRPr="00BB7F9E">
        <w:t>subject land.</w:t>
      </w:r>
    </w:p>
    <w:p w14:paraId="531E17F7" w14:textId="52F39BAC" w:rsidR="006670F3" w:rsidRDefault="006670F3" w:rsidP="00931FAC">
      <w:pPr>
        <w:pStyle w:val="Para1"/>
      </w:pPr>
      <w:r>
        <w:t xml:space="preserve">The submissions for </w:t>
      </w:r>
      <w:r w:rsidR="00F4681F">
        <w:t>the applicant</w:t>
      </w:r>
      <w:r>
        <w:t xml:space="preserve"> are </w:t>
      </w:r>
      <w:r w:rsidR="0007658E">
        <w:t>that condition 1(</w:t>
      </w:r>
      <w:r w:rsidR="00DB23F2">
        <w:t>a</w:t>
      </w:r>
      <w:r w:rsidR="0007658E">
        <w:t>) is excessive and unreasonable, and th</w:t>
      </w:r>
      <w:r w:rsidR="00FD143C">
        <w:t>at</w:t>
      </w:r>
      <w:r w:rsidR="0007658E">
        <w:t xml:space="preserve"> </w:t>
      </w:r>
      <w:r w:rsidR="00DB23F2">
        <w:t>conditions 8 to 11</w:t>
      </w:r>
      <w:r w:rsidR="00FD143C">
        <w:t xml:space="preserve"> </w:t>
      </w:r>
      <w:r w:rsidR="009E71A9">
        <w:t xml:space="preserve">are </w:t>
      </w:r>
      <w:r w:rsidR="002B3BA3">
        <w:t>conditions that are the province of the Building Regulations.</w:t>
      </w:r>
    </w:p>
    <w:p w14:paraId="7CEC09FC" w14:textId="6DF8C340" w:rsidR="0005712A" w:rsidRDefault="0005712A" w:rsidP="006E109D">
      <w:pPr>
        <w:pStyle w:val="Para1"/>
      </w:pPr>
      <w:r>
        <w:t>The responsible authority submits that the conditions are necessary in order to achieve an acceptable character and amenity outcome for the neighbourhood and appropriate</w:t>
      </w:r>
      <w:r w:rsidR="006670F3">
        <w:t xml:space="preserve"> </w:t>
      </w:r>
      <w:r>
        <w:t xml:space="preserve">stormwater management infrastructure. </w:t>
      </w:r>
      <w:r w:rsidR="006670F3">
        <w:t xml:space="preserve"> It says that </w:t>
      </w:r>
      <w:r>
        <w:t>the conditions are reasonable and</w:t>
      </w:r>
      <w:r w:rsidR="006670F3">
        <w:t xml:space="preserve"> </w:t>
      </w:r>
      <w:r>
        <w:t xml:space="preserve">appropriate and should remain as conditions of </w:t>
      </w:r>
      <w:r w:rsidR="00B4134A">
        <w:t xml:space="preserve">the </w:t>
      </w:r>
      <w:r>
        <w:t>permit.</w:t>
      </w:r>
    </w:p>
    <w:p w14:paraId="592C1585" w14:textId="5E5A1F7A" w:rsidR="00880493" w:rsidRDefault="009E217D" w:rsidP="006E109D">
      <w:pPr>
        <w:pStyle w:val="Para1"/>
      </w:pPr>
      <w:r w:rsidRPr="00D24249">
        <w:t xml:space="preserve">The Tribunal must decide whether </w:t>
      </w:r>
      <w:r>
        <w:t xml:space="preserve">these </w:t>
      </w:r>
      <w:r w:rsidRPr="00AB5DCE">
        <w:t>condition</w:t>
      </w:r>
      <w:r>
        <w:t>s</w:t>
      </w:r>
      <w:r w:rsidRPr="00AB5DCE">
        <w:t xml:space="preserve"> </w:t>
      </w:r>
      <w:r>
        <w:t xml:space="preserve">should be </w:t>
      </w:r>
      <w:r w:rsidR="00880493">
        <w:t>varied</w:t>
      </w:r>
      <w:r w:rsidRPr="00A150F6">
        <w:t>.</w:t>
      </w:r>
      <w:r w:rsidR="00880493">
        <w:t xml:space="preserve">  </w:t>
      </w:r>
      <w:r w:rsidR="00880493" w:rsidRPr="00674229">
        <w:t>I must consider whether the proposal will produce ‘acceptable outcomes’,</w:t>
      </w:r>
      <w:r w:rsidR="00880493">
        <w:rPr>
          <w:rStyle w:val="FootnoteReference"/>
        </w:rPr>
        <w:footnoteReference w:id="3"/>
      </w:r>
      <w:r w:rsidR="00880493" w:rsidRPr="00674229">
        <w:t xml:space="preserve"> </w:t>
      </w:r>
      <w:r w:rsidR="00880493" w:rsidRPr="00880493">
        <w:t xml:space="preserve">rather than optimal or preferable outcomes, </w:t>
      </w:r>
      <w:r w:rsidR="00880493" w:rsidRPr="00674229">
        <w:t>in relation to the relevant policies and provisions of the planning scheme.</w:t>
      </w:r>
    </w:p>
    <w:p w14:paraId="2D2CE43B" w14:textId="24743739" w:rsidR="00E200CF" w:rsidRDefault="006D14C4" w:rsidP="00E200CF">
      <w:pPr>
        <w:pStyle w:val="Para1"/>
      </w:pPr>
      <w:r>
        <w:t>The key issues to be determine</w:t>
      </w:r>
      <w:r w:rsidR="008B17BF">
        <w:t>d</w:t>
      </w:r>
      <w:r>
        <w:t xml:space="preserve"> are:</w:t>
      </w:r>
    </w:p>
    <w:p w14:paraId="16E71F65" w14:textId="6AF56ECD" w:rsidR="00C67595" w:rsidRPr="00445DA3" w:rsidRDefault="00EF51EB" w:rsidP="00747E33">
      <w:pPr>
        <w:pStyle w:val="Para5"/>
      </w:pPr>
      <w:r w:rsidRPr="00445DA3">
        <w:t xml:space="preserve">Is the design detail of the </w:t>
      </w:r>
      <w:r w:rsidR="006636AE" w:rsidRPr="00445DA3">
        <w:t xml:space="preserve">façade and roof of the </w:t>
      </w:r>
      <w:r w:rsidRPr="00445DA3">
        <w:t xml:space="preserve">buildings </w:t>
      </w:r>
      <w:r w:rsidR="002D1D2F" w:rsidRPr="00445DA3">
        <w:t xml:space="preserve">as proposed </w:t>
      </w:r>
      <w:r w:rsidR="006636AE" w:rsidRPr="00445DA3">
        <w:t xml:space="preserve">in the application plans </w:t>
      </w:r>
      <w:r w:rsidRPr="00445DA3">
        <w:t>acceptable</w:t>
      </w:r>
      <w:r w:rsidR="006709A5" w:rsidRPr="00445DA3">
        <w:t>?</w:t>
      </w:r>
    </w:p>
    <w:p w14:paraId="44472C4A" w14:textId="771E3274" w:rsidR="006D14C4" w:rsidRPr="0081601E" w:rsidRDefault="009D3523" w:rsidP="00747E33">
      <w:pPr>
        <w:pStyle w:val="Para5"/>
      </w:pPr>
      <w:r w:rsidRPr="0081601E">
        <w:t>Are</w:t>
      </w:r>
      <w:r w:rsidR="00747E33" w:rsidRPr="0081601E">
        <w:t xml:space="preserve"> conditions </w:t>
      </w:r>
      <w:r w:rsidR="00C67595" w:rsidRPr="0081601E">
        <w:t xml:space="preserve">8 </w:t>
      </w:r>
      <w:r w:rsidRPr="0081601E">
        <w:t>to</w:t>
      </w:r>
      <w:r w:rsidR="00C67595" w:rsidRPr="0081601E">
        <w:t xml:space="preserve"> 11 </w:t>
      </w:r>
      <w:r w:rsidR="00631828" w:rsidRPr="0081601E">
        <w:t xml:space="preserve">relevant conditions </w:t>
      </w:r>
      <w:r w:rsidR="00ED75F6" w:rsidRPr="0081601E">
        <w:t xml:space="preserve">that </w:t>
      </w:r>
      <w:r w:rsidR="0079529D" w:rsidRPr="0081601E">
        <w:t xml:space="preserve">should be </w:t>
      </w:r>
      <w:r w:rsidR="00FF46CE" w:rsidRPr="0081601E">
        <w:t xml:space="preserve">included on the </w:t>
      </w:r>
      <w:r w:rsidR="001A1817">
        <w:t xml:space="preserve">planning </w:t>
      </w:r>
      <w:r w:rsidR="00FF46CE" w:rsidRPr="0081601E">
        <w:t>permit?</w:t>
      </w:r>
    </w:p>
    <w:p w14:paraId="6E12A7B6" w14:textId="6F943176" w:rsidR="00BA181A" w:rsidRPr="00BA181A" w:rsidRDefault="00BA181A" w:rsidP="00BA181A">
      <w:pPr>
        <w:pStyle w:val="Para1"/>
      </w:pPr>
      <w:r w:rsidRPr="00BA181A">
        <w:t xml:space="preserve">Having considered the submissions and statements of grounds, and </w:t>
      </w:r>
      <w:r>
        <w:t xml:space="preserve">the </w:t>
      </w:r>
      <w:r w:rsidRPr="00BA181A">
        <w:t xml:space="preserve">relevant policies and provisions of the planning scheme, I have decided to </w:t>
      </w:r>
      <w:r w:rsidRPr="0081601E">
        <w:t xml:space="preserve">vary </w:t>
      </w:r>
      <w:r w:rsidRPr="00BA181A">
        <w:t xml:space="preserve">the decision of the responsible authority and direct that </w:t>
      </w:r>
      <w:r w:rsidRPr="0081601E">
        <w:t>the conditions in the planning permit be modified.</w:t>
      </w:r>
      <w:r w:rsidRPr="00BA181A">
        <w:t xml:space="preserve">  My reasons follow.</w:t>
      </w:r>
    </w:p>
    <w:p w14:paraId="2E3C76F6" w14:textId="6223ED46" w:rsidR="00E200CF" w:rsidRDefault="00E200CF" w:rsidP="00E200CF">
      <w:pPr>
        <w:pStyle w:val="Heading2"/>
      </w:pPr>
      <w:r>
        <w:t>Procedural issues &amp; rulings</w:t>
      </w:r>
    </w:p>
    <w:p w14:paraId="44998766" w14:textId="2AF7879A" w:rsidR="00BA2D1B" w:rsidRDefault="006E6B27" w:rsidP="00527264">
      <w:pPr>
        <w:pStyle w:val="Para1"/>
      </w:pPr>
      <w:r w:rsidRPr="006E6B27">
        <w:t>Prior to the hearing Mr Kenneth Tang</w:t>
      </w:r>
      <w:r w:rsidR="00E24431">
        <w:t>,</w:t>
      </w:r>
      <w:r w:rsidR="00E24431" w:rsidRPr="007D1E63">
        <w:t xml:space="preserve"> </w:t>
      </w:r>
      <w:r w:rsidR="00E24431">
        <w:t>who has Power of Attorney for Mr Samuel Tang,</w:t>
      </w:r>
      <w:r w:rsidRPr="006E6B27">
        <w:t xml:space="preserve"> sent to the Tribunal a letter (dated 7 October 2020) commenting on the responsible authority’s handling of the planning permit application and on another permit for a nearby property at 30 Ralton Avenue.  </w:t>
      </w:r>
      <w:r w:rsidR="00E24431">
        <w:t>This was addressed as a preliminary matter a</w:t>
      </w:r>
      <w:r w:rsidRPr="006E6B27">
        <w:t xml:space="preserve">t the commencement </w:t>
      </w:r>
      <w:r w:rsidR="0040062C">
        <w:rPr>
          <w:noProof/>
        </w:rPr>
        <w:lastRenderedPageBreak/>
        <w:drawing>
          <wp:anchor distT="0" distB="0" distL="114300" distR="114300" simplePos="0" relativeHeight="251662336" behindDoc="1" locked="0" layoutInCell="1" allowOverlap="1" wp14:anchorId="7519FBEE" wp14:editId="3D7A3CC8">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6E6B27">
        <w:t>of the hearing</w:t>
      </w:r>
      <w:r w:rsidR="00E24431">
        <w:t>.</w:t>
      </w:r>
      <w:r w:rsidRPr="006E6B27">
        <w:t xml:space="preserve">  I acknowledged that I would consider th</w:t>
      </w:r>
      <w:r w:rsidR="00391120">
        <w:t>at</w:t>
      </w:r>
      <w:r w:rsidRPr="006E6B27">
        <w:t xml:space="preserve"> letter as an addendum to Mr Ng’s submissions on behalf of the applicant.</w:t>
      </w:r>
    </w:p>
    <w:p w14:paraId="6F54EFD7" w14:textId="723CB4A4" w:rsidR="00527264" w:rsidRDefault="00527264" w:rsidP="00527264">
      <w:pPr>
        <w:pStyle w:val="Para1"/>
      </w:pPr>
      <w:r>
        <w:t>After the hearing</w:t>
      </w:r>
      <w:r w:rsidR="00D65442">
        <w:t>,</w:t>
      </w:r>
      <w:r>
        <w:t xml:space="preserve"> Mr Kenneth Tang sent to the Tribunal</w:t>
      </w:r>
      <w:r w:rsidR="008803D8">
        <w:rPr>
          <w:rStyle w:val="FootnoteReference"/>
        </w:rPr>
        <w:footnoteReference w:id="4"/>
      </w:r>
      <w:r>
        <w:t xml:space="preserve"> a </w:t>
      </w:r>
      <w:r w:rsidR="00391120">
        <w:t xml:space="preserve">further </w:t>
      </w:r>
      <w:r>
        <w:t xml:space="preserve">letter </w:t>
      </w:r>
      <w:r w:rsidR="00391120">
        <w:t>(</w:t>
      </w:r>
      <w:r>
        <w:t>dated 26 October 2020</w:t>
      </w:r>
      <w:r w:rsidR="00391120">
        <w:t>)</w:t>
      </w:r>
      <w:r>
        <w:t xml:space="preserve">.  A copy of this letter was emailed to the responsible authority at the same </w:t>
      </w:r>
      <w:r w:rsidR="00FF3DED">
        <w:t>time;</w:t>
      </w:r>
      <w:r>
        <w:t xml:space="preserve"> however</w:t>
      </w:r>
      <w:r w:rsidR="000C5392">
        <w:t>,</w:t>
      </w:r>
      <w:r>
        <w:t xml:space="preserve"> it </w:t>
      </w:r>
      <w:r w:rsidR="005518CD">
        <w:t>was</w:t>
      </w:r>
      <w:r>
        <w:t xml:space="preserve"> unclear whether a copy of this letter was sent to Mr Ng as the applicant’s representative.</w:t>
      </w:r>
    </w:p>
    <w:p w14:paraId="6AFD0845" w14:textId="73603B89" w:rsidR="007A7261" w:rsidRDefault="00527264" w:rsidP="00527264">
      <w:pPr>
        <w:pStyle w:val="Para1"/>
      </w:pPr>
      <w:r>
        <w:t xml:space="preserve">This letter comments on the hearing, my consideration of Mr Tang’s earlier letter, the responsible authority’s assessment of the permit application for the property at 30 Ralton Street, and Amendment C125 to the </w:t>
      </w:r>
      <w:r w:rsidR="00FF3DED">
        <w:t>p</w:t>
      </w:r>
      <w:r>
        <w:t xml:space="preserve">lanning </w:t>
      </w:r>
      <w:r w:rsidR="00FF3DED">
        <w:t>s</w:t>
      </w:r>
      <w:r>
        <w:t>cheme.  This letter also includes comments on the discussion at the hearing about potential changes to the building facade and roof eave and expresses Mr Tang’s preference for retaining the original fa</w:t>
      </w:r>
      <w:r w:rsidR="009B7B59">
        <w:t>c</w:t>
      </w:r>
      <w:r>
        <w:t>ade design and his views on a ‘compromise second option’.  Attached to this letter is a document (dated 6 October 2020) commenting on adjoining and nearby properties and including photographs of other dwellings in the surrounding area</w:t>
      </w:r>
      <w:r w:rsidR="0094360E">
        <w:t>.</w:t>
      </w:r>
    </w:p>
    <w:p w14:paraId="1531D6E0" w14:textId="1025BFAF" w:rsidR="0094360E" w:rsidRDefault="008C26E2" w:rsidP="00527264">
      <w:pPr>
        <w:pStyle w:val="Para1"/>
      </w:pPr>
      <w:r>
        <w:t>Having not sought or provided</w:t>
      </w:r>
      <w:r w:rsidRPr="008C26E2">
        <w:t xml:space="preserve"> the opportunity for further submissions to be made after the hearing</w:t>
      </w:r>
      <w:r w:rsidR="00A2623A">
        <w:t>,</w:t>
      </w:r>
      <w:r w:rsidR="005D7399">
        <w:t xml:space="preserve"> I </w:t>
      </w:r>
      <w:r w:rsidRPr="008C26E2">
        <w:t>provide</w:t>
      </w:r>
      <w:r w:rsidR="005D7399">
        <w:t>d</w:t>
      </w:r>
      <w:r w:rsidRPr="008C26E2">
        <w:t xml:space="preserve"> the responsible authority with the opportunity to respond to the matters raised in Mr Kenneth Tang’s letter </w:t>
      </w:r>
      <w:r w:rsidR="005D7399">
        <w:t xml:space="preserve">of </w:t>
      </w:r>
      <w:r w:rsidRPr="008C26E2">
        <w:t>26 October 2020.</w:t>
      </w:r>
      <w:r w:rsidR="00155D66">
        <w:rPr>
          <w:rStyle w:val="FootnoteReference"/>
        </w:rPr>
        <w:footnoteReference w:id="5"/>
      </w:r>
      <w:r w:rsidRPr="008C26E2">
        <w:t xml:space="preserve">  </w:t>
      </w:r>
      <w:r w:rsidR="00AF24F1">
        <w:t>The responsible authority responded</w:t>
      </w:r>
      <w:r w:rsidR="007070EB">
        <w:rPr>
          <w:rStyle w:val="FootnoteReference"/>
        </w:rPr>
        <w:footnoteReference w:id="6"/>
      </w:r>
      <w:r w:rsidR="00AF24F1">
        <w:t xml:space="preserve"> </w:t>
      </w:r>
      <w:r w:rsidR="007070EB">
        <w:t xml:space="preserve">advising that </w:t>
      </w:r>
      <w:r w:rsidR="008B3F3B" w:rsidRPr="008B3F3B">
        <w:t xml:space="preserve">it maintains its position that the proposal and the suggested changes by Mr Tang continue to be contrary to the policy provisions relating to mock historic buildings as outlined in policy 22.01 of the </w:t>
      </w:r>
      <w:r w:rsidR="000D47DB">
        <w:t>p</w:t>
      </w:r>
      <w:r w:rsidR="008B3F3B" w:rsidRPr="008B3F3B">
        <w:t xml:space="preserve">lanning </w:t>
      </w:r>
      <w:r w:rsidR="000D47DB">
        <w:t>s</w:t>
      </w:r>
      <w:r w:rsidR="008B3F3B" w:rsidRPr="008B3F3B">
        <w:t>cheme</w:t>
      </w:r>
      <w:r w:rsidR="000D47DB">
        <w:t>.</w:t>
      </w:r>
    </w:p>
    <w:p w14:paraId="6E60D606" w14:textId="0F7CE26F" w:rsidR="00B324D1" w:rsidRDefault="00984E9F" w:rsidP="00527264">
      <w:pPr>
        <w:pStyle w:val="Para1"/>
      </w:pPr>
      <w:r>
        <w:t>I am satisfied that the responsible authority has had the opportunity to respond to both letters from Mr Kenneth Tang</w:t>
      </w:r>
      <w:r w:rsidR="001E21B7">
        <w:t xml:space="preserve">.  </w:t>
      </w:r>
      <w:r>
        <w:t xml:space="preserve">I have had regard to both </w:t>
      </w:r>
      <w:r w:rsidR="003F4A02">
        <w:t xml:space="preserve">of Mr Kenneth Tang’s </w:t>
      </w:r>
      <w:r>
        <w:t>letters</w:t>
      </w:r>
      <w:r w:rsidR="001E21B7">
        <w:t xml:space="preserve"> </w:t>
      </w:r>
      <w:r w:rsidR="00843397">
        <w:t>in addition</w:t>
      </w:r>
      <w:r w:rsidR="008B7E44">
        <w:t xml:space="preserve"> to Mr Ng’s submissions on behalf of the applicant, as well as </w:t>
      </w:r>
      <w:r w:rsidR="001E21B7">
        <w:t>the responsible authority’s response to these</w:t>
      </w:r>
      <w:r w:rsidR="008B7E44">
        <w:t>.</w:t>
      </w:r>
    </w:p>
    <w:p w14:paraId="586EDDB8" w14:textId="04A31BCE" w:rsidR="00E200CF" w:rsidRDefault="00162338" w:rsidP="00E200CF">
      <w:pPr>
        <w:pStyle w:val="Heading2"/>
      </w:pPr>
      <w:r w:rsidRPr="00162338">
        <w:t>Is the design detail of the fa</w:t>
      </w:r>
      <w:r w:rsidR="005C4B4A">
        <w:t>c</w:t>
      </w:r>
      <w:r w:rsidRPr="00162338">
        <w:t>ade and roof of the buildings as proposed in the application plans acceptable?</w:t>
      </w:r>
    </w:p>
    <w:p w14:paraId="79C9FE2B" w14:textId="77777777" w:rsidR="00A36CD3" w:rsidRDefault="00A36CD3" w:rsidP="00A36CD3">
      <w:pPr>
        <w:pStyle w:val="Para1"/>
      </w:pPr>
      <w:r>
        <w:t>Condition 1(a) requires the plans to be modified to show the following:</w:t>
      </w:r>
    </w:p>
    <w:p w14:paraId="55289DD3" w14:textId="3EC4EBC8" w:rsidR="00A36CD3" w:rsidRDefault="00A36CD3" w:rsidP="00A36CD3">
      <w:pPr>
        <w:pStyle w:val="Quote1"/>
      </w:pPr>
      <w:r>
        <w:t>Deletion of Georgian accents and modification of fa</w:t>
      </w:r>
      <w:r w:rsidR="00C46C39">
        <w:t>c</w:t>
      </w:r>
      <w:r>
        <w:t>ade treatments and window and introduction of eave elements along the ground floors of Units 1 and 2, to the satisfaction of the Responsible Authority.</w:t>
      </w:r>
    </w:p>
    <w:p w14:paraId="5E98C8A9" w14:textId="6B58934F" w:rsidR="0095343E" w:rsidRDefault="00EF56AC" w:rsidP="00E200CF">
      <w:pPr>
        <w:pStyle w:val="Para1"/>
      </w:pPr>
      <w:r>
        <w:t>Mr Ng</w:t>
      </w:r>
      <w:r w:rsidR="007616CE">
        <w:t>’s</w:t>
      </w:r>
      <w:r>
        <w:t xml:space="preserve"> submi</w:t>
      </w:r>
      <w:r w:rsidR="007616CE">
        <w:t>ssions for the applicant include</w:t>
      </w:r>
      <w:r w:rsidR="0095343E">
        <w:t>, in summary:</w:t>
      </w:r>
    </w:p>
    <w:p w14:paraId="6BBDD649" w14:textId="105CAF2E" w:rsidR="0095343E" w:rsidRDefault="0095343E" w:rsidP="0095343E">
      <w:pPr>
        <w:pStyle w:val="Para5"/>
      </w:pPr>
      <w:r>
        <w:t>The condition boils down to the issue of the eternal neighbourhood character that dominates the thinking of municipal planners.</w:t>
      </w:r>
    </w:p>
    <w:p w14:paraId="4EB92F62" w14:textId="70C50C22" w:rsidR="0095343E" w:rsidRDefault="008749E0" w:rsidP="0095343E">
      <w:pPr>
        <w:pStyle w:val="Para5"/>
      </w:pPr>
      <w:r>
        <w:t xml:space="preserve">It is significant that the application requirements and decision guidelines at sections 6.0 and 7.0 of the </w:t>
      </w:r>
      <w:r w:rsidR="00451B78">
        <w:t>NRZ4 Schedule make no reference to neighbourhood character.</w:t>
      </w:r>
    </w:p>
    <w:p w14:paraId="526F7A06" w14:textId="1D333365" w:rsidR="00451B78" w:rsidRDefault="0040062C" w:rsidP="00DD579D">
      <w:pPr>
        <w:pStyle w:val="Para5"/>
      </w:pPr>
      <w:r>
        <w:rPr>
          <w:noProof/>
        </w:rPr>
        <w:lastRenderedPageBreak/>
        <w:drawing>
          <wp:anchor distT="0" distB="0" distL="114300" distR="114300" simplePos="0" relativeHeight="251663360" behindDoc="1" locked="0" layoutInCell="1" allowOverlap="1" wp14:anchorId="50477717" wp14:editId="6063AAB9">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05C3E">
        <w:t>T</w:t>
      </w:r>
      <w:r w:rsidR="00B4248A">
        <w:t>h</w:t>
      </w:r>
      <w:r w:rsidR="00605C3E">
        <w:t xml:space="preserve">e only whinge that the Council has is the design detail of the </w:t>
      </w:r>
      <w:r w:rsidR="00B4248A">
        <w:t>Georgian elements of the design w</w:t>
      </w:r>
      <w:r w:rsidR="00E51842">
        <w:t>h</w:t>
      </w:r>
      <w:r w:rsidR="00B4248A">
        <w:t>ich it alleges</w:t>
      </w:r>
      <w:r w:rsidR="00E51842">
        <w:t xml:space="preserve"> </w:t>
      </w:r>
      <w:r w:rsidR="00890283">
        <w:t xml:space="preserve">do </w:t>
      </w:r>
      <w:r w:rsidR="00E51842">
        <w:t>not integrate with the existing character of the area.</w:t>
      </w:r>
    </w:p>
    <w:p w14:paraId="2E7DF180" w14:textId="6911B2D3" w:rsidR="00DD579D" w:rsidRDefault="00DD579D" w:rsidP="00DD579D">
      <w:pPr>
        <w:pStyle w:val="Para5"/>
      </w:pPr>
      <w:r>
        <w:t>Neighbourhood character being one of 48 objectives in ‘ResCode’ (clause 55)</w:t>
      </w:r>
      <w:r w:rsidR="00E76EE6">
        <w:t xml:space="preserve"> is on the last and lowest rung of the ladder of aesthetic control in the planning scheme, and is not the ‘be all and end all’ of planning for dwellings in the area.</w:t>
      </w:r>
    </w:p>
    <w:p w14:paraId="67063CF0" w14:textId="37007D7D" w:rsidR="00F23921" w:rsidRDefault="00E60BBB" w:rsidP="00DD579D">
      <w:pPr>
        <w:pStyle w:val="Para5"/>
      </w:pPr>
      <w:r>
        <w:t>The site is not covered by a Heritage Overlay, Design and Development Overlay, or any other aesthetic overlay.</w:t>
      </w:r>
    </w:p>
    <w:p w14:paraId="28DAF8C8" w14:textId="35A05631" w:rsidR="006A2D3D" w:rsidRDefault="006A2D3D" w:rsidP="00DD579D">
      <w:pPr>
        <w:pStyle w:val="Para5"/>
      </w:pPr>
      <w:r>
        <w:t>The applicant has already come a long way to designing the fa</w:t>
      </w:r>
      <w:r w:rsidR="00273D94">
        <w:t>c</w:t>
      </w:r>
      <w:r>
        <w:t xml:space="preserve">ade of the </w:t>
      </w:r>
      <w:r w:rsidR="00824100">
        <w:t>front dwelling and changed the roof to a hipped roof.</w:t>
      </w:r>
    </w:p>
    <w:p w14:paraId="7347CB09" w14:textId="6E13605E" w:rsidR="00824100" w:rsidRDefault="00824100" w:rsidP="00DD579D">
      <w:pPr>
        <w:pStyle w:val="Para5"/>
      </w:pPr>
      <w:r>
        <w:t>Adding eaves to the ground floors will destroy the impressive Georgian look</w:t>
      </w:r>
      <w:r w:rsidR="00645F67">
        <w:t xml:space="preserve"> and draw the design back to the 20</w:t>
      </w:r>
      <w:r w:rsidR="00645F67" w:rsidRPr="00645F67">
        <w:rPr>
          <w:vertAlign w:val="superscript"/>
        </w:rPr>
        <w:t>th</w:t>
      </w:r>
      <w:r w:rsidR="00645F67">
        <w:t xml:space="preserve"> Century, a retrograde step in urban design.</w:t>
      </w:r>
    </w:p>
    <w:p w14:paraId="7864E617" w14:textId="7C5EE747" w:rsidR="00645F67" w:rsidRDefault="00645F67" w:rsidP="00DD579D">
      <w:pPr>
        <w:pStyle w:val="Para5"/>
      </w:pPr>
      <w:r>
        <w:t xml:space="preserve">Based on the emerging </w:t>
      </w:r>
      <w:r w:rsidR="008D1111">
        <w:t xml:space="preserve">neighbourhood </w:t>
      </w:r>
      <w:r>
        <w:t xml:space="preserve">character </w:t>
      </w:r>
      <w:r w:rsidR="008D1111">
        <w:t>in the broader and localised area</w:t>
      </w:r>
      <w:r w:rsidR="00211C43">
        <w:t>,</w:t>
      </w:r>
      <w:r w:rsidR="008D1111">
        <w:t xml:space="preserve"> the design will not detract from the character of the streetscape.</w:t>
      </w:r>
    </w:p>
    <w:p w14:paraId="6AEBF0C0" w14:textId="16177684" w:rsidR="0025625E" w:rsidRDefault="0025625E" w:rsidP="00E200CF">
      <w:pPr>
        <w:pStyle w:val="Para1"/>
      </w:pPr>
      <w:r>
        <w:t xml:space="preserve">Mr Ng cites various </w:t>
      </w:r>
      <w:r w:rsidR="006B7C3F">
        <w:t xml:space="preserve">decisions of the Tribunal and former planning review </w:t>
      </w:r>
      <w:r w:rsidR="00AE7453">
        <w:t xml:space="preserve">tribunals and boards in support of his </w:t>
      </w:r>
      <w:r w:rsidR="00BC2F38">
        <w:t>submissions.</w:t>
      </w:r>
      <w:r w:rsidR="00BC2F38">
        <w:rPr>
          <w:rStyle w:val="FootnoteReference"/>
        </w:rPr>
        <w:footnoteReference w:id="7"/>
      </w:r>
      <w:r w:rsidR="00437999">
        <w:t xml:space="preserve">  I have had regard to these to the extent that they are relevant, noting that several of the </w:t>
      </w:r>
      <w:r w:rsidR="00C95851">
        <w:t>decisions</w:t>
      </w:r>
      <w:r w:rsidR="006F02A0">
        <w:rPr>
          <w:rStyle w:val="FootnoteReference"/>
        </w:rPr>
        <w:footnoteReference w:id="8"/>
      </w:r>
      <w:r w:rsidR="00C95851">
        <w:t xml:space="preserve"> pre-date the introduction</w:t>
      </w:r>
      <w:r w:rsidR="00F002DA">
        <w:rPr>
          <w:rStyle w:val="FootnoteReference"/>
        </w:rPr>
        <w:footnoteReference w:id="9"/>
      </w:r>
      <w:r w:rsidR="00C95851">
        <w:t xml:space="preserve"> of clause</w:t>
      </w:r>
      <w:r w:rsidR="009F71BB">
        <w:t>s</w:t>
      </w:r>
      <w:r w:rsidR="00C95851">
        <w:t xml:space="preserve"> </w:t>
      </w:r>
      <w:r w:rsidR="0096073B">
        <w:t>55.01 (N</w:t>
      </w:r>
      <w:r w:rsidR="0096073B" w:rsidRPr="0096073B">
        <w:t>eighbourhood and site description and design response</w:t>
      </w:r>
      <w:r w:rsidR="0096073B">
        <w:t>) and 55.02 (</w:t>
      </w:r>
      <w:r w:rsidR="00625221">
        <w:t>N</w:t>
      </w:r>
      <w:r w:rsidR="00625221" w:rsidRPr="00625221">
        <w:t>eighbourhood character and infrastructure</w:t>
      </w:r>
      <w:r w:rsidR="00625221">
        <w:t>)</w:t>
      </w:r>
      <w:r w:rsidR="006F02A0">
        <w:t xml:space="preserve"> to the planning scheme.</w:t>
      </w:r>
    </w:p>
    <w:p w14:paraId="303CAF3D" w14:textId="1D2A7634" w:rsidR="00E200CF" w:rsidRDefault="00F01270" w:rsidP="006E109D">
      <w:pPr>
        <w:pStyle w:val="Para1"/>
      </w:pPr>
      <w:r w:rsidRPr="00054C11">
        <w:t>Mr Ng</w:t>
      </w:r>
      <w:r w:rsidR="00C70949" w:rsidRPr="00054C11">
        <w:t xml:space="preserve">’s submission includes numerous photographs of </w:t>
      </w:r>
      <w:r w:rsidR="00E279F7" w:rsidRPr="00054C11">
        <w:t>existing dwellings within Ralton Avenue, adjacent streets and the broader surrounding area</w:t>
      </w:r>
      <w:r w:rsidR="00793823" w:rsidRPr="00054C11">
        <w:t xml:space="preserve">, that reflect a Georgian </w:t>
      </w:r>
      <w:r w:rsidR="007075FF" w:rsidRPr="00054C11">
        <w:t>design</w:t>
      </w:r>
      <w:r w:rsidR="00B56A67">
        <w:rPr>
          <w:rStyle w:val="FootnoteReference"/>
        </w:rPr>
        <w:footnoteReference w:id="10"/>
      </w:r>
      <w:r w:rsidR="0069277C" w:rsidRPr="00054C11">
        <w:t xml:space="preserve"> or have no ground floor eaves</w:t>
      </w:r>
      <w:r w:rsidR="005F279B" w:rsidRPr="00054C11">
        <w:t>.</w:t>
      </w:r>
      <w:r w:rsidR="0069277C" w:rsidRPr="00054C11">
        <w:rPr>
          <w:rStyle w:val="FootnoteReference"/>
        </w:rPr>
        <w:footnoteReference w:id="11"/>
      </w:r>
      <w:r w:rsidR="005F279B" w:rsidRPr="00054C11">
        <w:t xml:space="preserve">  He also re</w:t>
      </w:r>
      <w:r w:rsidR="0084153C">
        <w:t xml:space="preserve">lies on the permit for the </w:t>
      </w:r>
      <w:r w:rsidR="0084153C" w:rsidRPr="00590D63">
        <w:t xml:space="preserve">development at </w:t>
      </w:r>
      <w:r w:rsidR="005F279B" w:rsidRPr="00590D63">
        <w:t>30 Ralton Ave</w:t>
      </w:r>
      <w:r w:rsidR="0084153C" w:rsidRPr="00590D63">
        <w:t xml:space="preserve">nue, </w:t>
      </w:r>
      <w:r w:rsidR="00303F8F" w:rsidRPr="00590D63">
        <w:t>diagonally opposite the subject land</w:t>
      </w:r>
      <w:r w:rsidR="00263929">
        <w:t>, which is of neo-Georgian style</w:t>
      </w:r>
      <w:r w:rsidR="009F79E2">
        <w:t xml:space="preserve"> and has no roof eaves.</w:t>
      </w:r>
    </w:p>
    <w:p w14:paraId="680BD255" w14:textId="07855D21" w:rsidR="00590D63" w:rsidRDefault="00590D63" w:rsidP="006E109D">
      <w:pPr>
        <w:pStyle w:val="Para1"/>
      </w:pPr>
      <w:r>
        <w:t xml:space="preserve">I find that the </w:t>
      </w:r>
      <w:r w:rsidR="00445DA3" w:rsidRPr="00445DA3">
        <w:t>design detail of the fa</w:t>
      </w:r>
      <w:r w:rsidR="00D452E0">
        <w:t>c</w:t>
      </w:r>
      <w:r w:rsidR="00445DA3" w:rsidRPr="00445DA3">
        <w:t xml:space="preserve">ade and roof of the buildings as proposed in the application plans </w:t>
      </w:r>
      <w:r w:rsidR="007F0451">
        <w:t>are</w:t>
      </w:r>
      <w:r w:rsidR="00445DA3">
        <w:t xml:space="preserve"> not </w:t>
      </w:r>
      <w:r w:rsidR="00445DA3" w:rsidRPr="00445DA3">
        <w:t>acceptable</w:t>
      </w:r>
      <w:r w:rsidR="006E7451">
        <w:t>.  I say this for the following reasons.</w:t>
      </w:r>
    </w:p>
    <w:p w14:paraId="47068BD0" w14:textId="1BA4CDE4" w:rsidR="00784BBE" w:rsidRDefault="00784BBE" w:rsidP="006E109D">
      <w:pPr>
        <w:pStyle w:val="Para1"/>
      </w:pPr>
      <w:r>
        <w:t xml:space="preserve">Various planning policies and </w:t>
      </w:r>
      <w:r w:rsidR="00483AF2" w:rsidRPr="00483AF2">
        <w:t xml:space="preserve">provisions of the planning scheme seek to ensure development responds to its context and neighbourhood character.  </w:t>
      </w:r>
      <w:r w:rsidR="0040062C">
        <w:rPr>
          <w:noProof/>
        </w:rPr>
        <w:lastRenderedPageBreak/>
        <w:drawing>
          <wp:anchor distT="0" distB="0" distL="114300" distR="114300" simplePos="0" relativeHeight="251664384" behindDoc="1" locked="0" layoutInCell="1" allowOverlap="1" wp14:anchorId="1C7B5DC0" wp14:editId="178AFD1E">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83AF2" w:rsidRPr="00483AF2">
        <w:t xml:space="preserve">These include clauses 15 (Built </w:t>
      </w:r>
      <w:r w:rsidR="008C323D">
        <w:t>E</w:t>
      </w:r>
      <w:r w:rsidR="00483AF2" w:rsidRPr="00483AF2">
        <w:t xml:space="preserve">nvironment and </w:t>
      </w:r>
      <w:r w:rsidR="008C323D">
        <w:t>H</w:t>
      </w:r>
      <w:r w:rsidR="00483AF2" w:rsidRPr="00483AF2">
        <w:t>eritage), 16 (Housing), the purpose of the</w:t>
      </w:r>
      <w:r w:rsidR="007B77BF">
        <w:t xml:space="preserve"> NRZ4</w:t>
      </w:r>
      <w:r w:rsidR="00483AF2" w:rsidRPr="00483AF2">
        <w:t xml:space="preserve"> at clause </w:t>
      </w:r>
      <w:r w:rsidR="003E3BC5">
        <w:t>32.09</w:t>
      </w:r>
      <w:r w:rsidR="00483AF2" w:rsidRPr="00483AF2">
        <w:t xml:space="preserve">, and the neighbourhood character objectives and Standard B1 at </w:t>
      </w:r>
      <w:r w:rsidR="00851AD1">
        <w:t>c</w:t>
      </w:r>
      <w:r w:rsidR="00483AF2" w:rsidRPr="00483AF2">
        <w:t xml:space="preserve">lause 55.02-1.  These are echoed in the local planning policies, including </w:t>
      </w:r>
      <w:r w:rsidR="00280FB8">
        <w:t xml:space="preserve">clauses 21.04 (Residential </w:t>
      </w:r>
      <w:r w:rsidR="008C323D">
        <w:t>D</w:t>
      </w:r>
      <w:r w:rsidR="00280FB8">
        <w:t>evelopment) and 22.01 (R</w:t>
      </w:r>
      <w:r w:rsidR="00280FB8" w:rsidRPr="00196AFA">
        <w:t xml:space="preserve">esidential </w:t>
      </w:r>
      <w:r w:rsidR="008C323D">
        <w:t>D</w:t>
      </w:r>
      <w:r w:rsidR="00280FB8" w:rsidRPr="00196AFA">
        <w:t xml:space="preserve">evelopment and </w:t>
      </w:r>
      <w:r w:rsidR="008C323D">
        <w:t>C</w:t>
      </w:r>
      <w:r w:rsidR="00280FB8" w:rsidRPr="00196AFA">
        <w:t xml:space="preserve">haracter </w:t>
      </w:r>
      <w:r w:rsidR="008C323D">
        <w:t>P</w:t>
      </w:r>
      <w:r w:rsidR="00280FB8" w:rsidRPr="00196AFA">
        <w:t>olicy</w:t>
      </w:r>
      <w:r w:rsidR="00280FB8">
        <w:t>).</w:t>
      </w:r>
      <w:r w:rsidR="00C57EE6">
        <w:t xml:space="preserve">  It is not necessary for there to be an overlay applying to the land to </w:t>
      </w:r>
      <w:r w:rsidR="00505D1D">
        <w:t>give consideration of matters of neighbourhood character.</w:t>
      </w:r>
    </w:p>
    <w:p w14:paraId="69315598" w14:textId="5296F9B7" w:rsidR="007072DA" w:rsidRDefault="00280FB8" w:rsidP="006E109D">
      <w:pPr>
        <w:pStyle w:val="Para1"/>
      </w:pPr>
      <w:r>
        <w:t>Of particular relevance to the issue in dispute is the policy statement at clause 22.01-3 of the local Residential development and character policy that seeks to ‘discourage reproduction or mock-historic building styles incorporating superficial detailing whilst promoting contemporary designs of the present era’.</w:t>
      </w:r>
      <w:r w:rsidR="00BC5647">
        <w:t xml:space="preserve">  </w:t>
      </w:r>
      <w:r w:rsidR="0055598A">
        <w:t xml:space="preserve">I find that the proposal is inconsistent with </w:t>
      </w:r>
      <w:r>
        <w:t>this</w:t>
      </w:r>
      <w:r w:rsidR="0055598A">
        <w:t xml:space="preserve"> policy</w:t>
      </w:r>
      <w:r w:rsidR="00BC5647">
        <w:t>.</w:t>
      </w:r>
      <w:r w:rsidR="00505D1D">
        <w:t xml:space="preserve">  I say this for the following reasons.</w:t>
      </w:r>
    </w:p>
    <w:p w14:paraId="7FA35279" w14:textId="69E26EF6" w:rsidR="008D4B8A" w:rsidRDefault="00775C64" w:rsidP="00775C64">
      <w:pPr>
        <w:pStyle w:val="Para1"/>
      </w:pPr>
      <w:r w:rsidRPr="00C9684F">
        <w:t xml:space="preserve">I acknowledge that the applicant has already modified the </w:t>
      </w:r>
      <w:r w:rsidR="005B6057">
        <w:t xml:space="preserve">original </w:t>
      </w:r>
      <w:r w:rsidR="003E5DE5">
        <w:t xml:space="preserve">application </w:t>
      </w:r>
      <w:r w:rsidRPr="00C9684F">
        <w:t>plans</w:t>
      </w:r>
      <w:r w:rsidR="005B6057">
        <w:rPr>
          <w:rStyle w:val="FootnoteReference"/>
        </w:rPr>
        <w:footnoteReference w:id="12"/>
      </w:r>
      <w:r w:rsidRPr="00C9684F">
        <w:t xml:space="preserve"> of the proposal during the permit application process to remove some of the Georgian details.</w:t>
      </w:r>
      <w:r w:rsidR="000069D0">
        <w:rPr>
          <w:rStyle w:val="FootnoteReference"/>
        </w:rPr>
        <w:footnoteReference w:id="13"/>
      </w:r>
      <w:r w:rsidRPr="00C9684F">
        <w:t xml:space="preserve">  </w:t>
      </w:r>
      <w:r w:rsidR="008D4B8A">
        <w:t>Despite the modifications from the original application plans, the proposed dwellings still retain Georgian details</w:t>
      </w:r>
      <w:r w:rsidR="00F86E5A">
        <w:t xml:space="preserve"> and a distinct neo-Georgian style</w:t>
      </w:r>
      <w:r w:rsidR="008D4B8A">
        <w:t>.</w:t>
      </w:r>
    </w:p>
    <w:p w14:paraId="07AD8273" w14:textId="4D6B14D6" w:rsidR="0044625E" w:rsidRDefault="0044625E" w:rsidP="0044625E">
      <w:pPr>
        <w:pStyle w:val="Para1"/>
      </w:pPr>
      <w:r w:rsidRPr="0044625E">
        <w:t xml:space="preserve">Having regard to the plans and the submissions of the parties, </w:t>
      </w:r>
      <w:r w:rsidR="004E07B2">
        <w:t xml:space="preserve">I consider </w:t>
      </w:r>
      <w:r w:rsidRPr="0044625E">
        <w:t xml:space="preserve">the Georgian details of </w:t>
      </w:r>
      <w:r w:rsidR="00304F10">
        <w:t>the</w:t>
      </w:r>
      <w:r w:rsidRPr="0044625E">
        <w:t xml:space="preserve"> </w:t>
      </w:r>
      <w:r w:rsidR="00B7371E">
        <w:t>proposed buildings</w:t>
      </w:r>
      <w:r w:rsidRPr="0044625E">
        <w:t xml:space="preserve"> to be the </w:t>
      </w:r>
      <w:r w:rsidR="00A82B36" w:rsidRPr="00A82B36">
        <w:t>window style, proportions and placements, the column details to the ground floor level facades</w:t>
      </w:r>
      <w:r w:rsidR="008B2AFD">
        <w:t>, the</w:t>
      </w:r>
      <w:r w:rsidR="00A82B36" w:rsidRPr="00A82B36">
        <w:t xml:space="preserve"> </w:t>
      </w:r>
      <w:r w:rsidRPr="0044625E">
        <w:t xml:space="preserve">dual band of moulding around the top of the ground floor level walls, the moulding around the top of the first floor level wall (on the underside of the roof), the parapet roofline of the ground floor level, the lack of </w:t>
      </w:r>
      <w:r w:rsidR="00B96E48">
        <w:t xml:space="preserve">roof </w:t>
      </w:r>
      <w:r w:rsidRPr="0044625E">
        <w:t>eaves, and the ornate metal balustrades across upper floor windows.</w:t>
      </w:r>
      <w:r w:rsidR="008B2AFD" w:rsidRPr="008B2AFD">
        <w:rPr>
          <w:rStyle w:val="FootnoteReference"/>
        </w:rPr>
        <w:t xml:space="preserve"> </w:t>
      </w:r>
      <w:r w:rsidR="008B2AFD">
        <w:rPr>
          <w:rStyle w:val="FootnoteReference"/>
        </w:rPr>
        <w:footnoteReference w:id="14"/>
      </w:r>
      <w:r w:rsidRPr="0044625E">
        <w:t xml:space="preserve">  These elements give the proposed </w:t>
      </w:r>
      <w:r w:rsidR="000A1AB4">
        <w:t>buildings</w:t>
      </w:r>
      <w:r w:rsidRPr="0044625E">
        <w:t xml:space="preserve"> a neo-Georgian style, albeit </w:t>
      </w:r>
      <w:r w:rsidR="001F2E49">
        <w:t xml:space="preserve">in </w:t>
      </w:r>
      <w:r w:rsidRPr="0044625E">
        <w:t xml:space="preserve">a simplified </w:t>
      </w:r>
      <w:r w:rsidR="001F2E49">
        <w:t>way</w:t>
      </w:r>
      <w:r w:rsidRPr="0044625E">
        <w:t xml:space="preserve"> </w:t>
      </w:r>
      <w:r w:rsidR="001F2E49">
        <w:t>compared with</w:t>
      </w:r>
      <w:r w:rsidRPr="0044625E">
        <w:t xml:space="preserve"> the original application plans.</w:t>
      </w:r>
    </w:p>
    <w:p w14:paraId="4896EB56" w14:textId="4A2ECF86" w:rsidR="00FC6C64" w:rsidRPr="00C9684F" w:rsidRDefault="00FC6C64" w:rsidP="00FC6C64">
      <w:pPr>
        <w:pStyle w:val="Para1"/>
      </w:pPr>
      <w:r w:rsidRPr="00C9684F">
        <w:t>Condition 1(a) is seeking for further changes to be made</w:t>
      </w:r>
      <w:r w:rsidR="008D3A02">
        <w:t xml:space="preserve"> to the detailed design</w:t>
      </w:r>
      <w:r w:rsidRPr="00C9684F">
        <w:t>, although it is not specific as to what ‘Georgian accents’ are to be deleted or the ‘modification of facade treatments and window’ that are required.</w:t>
      </w:r>
      <w:r w:rsidRPr="006E62C7">
        <w:t xml:space="preserve"> </w:t>
      </w:r>
      <w:r>
        <w:t xml:space="preserve"> It is not acceptable that the permit condition does not provide clarity or certainty as to what </w:t>
      </w:r>
      <w:r w:rsidR="0063281F">
        <w:t xml:space="preserve">modifications </w:t>
      </w:r>
      <w:r w:rsidR="00E57CA9">
        <w:t xml:space="preserve">are expected.  </w:t>
      </w:r>
      <w:r w:rsidR="00960EBC">
        <w:t>The</w:t>
      </w:r>
      <w:r w:rsidR="00E57CA9">
        <w:t xml:space="preserve"> lack of specificity </w:t>
      </w:r>
      <w:r w:rsidR="00960EBC">
        <w:t>is of little assistance to the permit applicant or the Tribunal</w:t>
      </w:r>
      <w:r w:rsidR="002C03CD">
        <w:t xml:space="preserve"> in seeking to </w:t>
      </w:r>
      <w:r w:rsidR="00E47C0B">
        <w:t xml:space="preserve">understand what the responsible authority is seeking as an </w:t>
      </w:r>
      <w:r w:rsidR="002C03CD">
        <w:t>acceptable outcome.</w:t>
      </w:r>
    </w:p>
    <w:p w14:paraId="0BBABDBF" w14:textId="5BDDAA75" w:rsidR="00730083" w:rsidRDefault="00730083" w:rsidP="00730083">
      <w:pPr>
        <w:pStyle w:val="Para1"/>
      </w:pPr>
      <w:r>
        <w:t xml:space="preserve">I appreciate the applicant’s </w:t>
      </w:r>
      <w:r w:rsidR="002C4F46">
        <w:t xml:space="preserve">concerns </w:t>
      </w:r>
      <w:r w:rsidR="00687763">
        <w:t xml:space="preserve">(and frustration) </w:t>
      </w:r>
      <w:r w:rsidR="002C4F46">
        <w:t xml:space="preserve">that there are many examples of </w:t>
      </w:r>
      <w:r w:rsidR="00687763">
        <w:t>neo-</w:t>
      </w:r>
      <w:r w:rsidR="005A3030">
        <w:t xml:space="preserve">Georgian style dwellings in the area, and </w:t>
      </w:r>
      <w:r w:rsidR="00933EF4">
        <w:t>with</w:t>
      </w:r>
      <w:r>
        <w:t xml:space="preserve"> </w:t>
      </w:r>
      <w:r w:rsidR="005A3030">
        <w:t xml:space="preserve">the apparent inconsistency of </w:t>
      </w:r>
      <w:r>
        <w:t>the responsible authority approv</w:t>
      </w:r>
      <w:r w:rsidR="005A3030">
        <w:t>ing</w:t>
      </w:r>
      <w:r>
        <w:t xml:space="preserve"> the development at 30 </w:t>
      </w:r>
      <w:r w:rsidR="0040062C">
        <w:rPr>
          <w:noProof/>
        </w:rPr>
        <w:lastRenderedPageBreak/>
        <w:drawing>
          <wp:anchor distT="0" distB="0" distL="114300" distR="114300" simplePos="0" relativeHeight="251665408" behindDoc="1" locked="0" layoutInCell="1" allowOverlap="1" wp14:anchorId="61E12A09" wp14:editId="6AA8B130">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Ralton Avenue</w:t>
      </w:r>
      <w:r w:rsidR="00D552C9">
        <w:t xml:space="preserve">, </w:t>
      </w:r>
      <w:r w:rsidR="005A3030">
        <w:t>while</w:t>
      </w:r>
      <w:r>
        <w:t xml:space="preserve"> requir</w:t>
      </w:r>
      <w:r w:rsidR="005A3030">
        <w:t>ing</w:t>
      </w:r>
      <w:r>
        <w:t xml:space="preserve"> changes to </w:t>
      </w:r>
      <w:r w:rsidR="005C23C1">
        <w:t>their</w:t>
      </w:r>
      <w:r w:rsidR="00354017">
        <w:t xml:space="preserve"> proposal</w:t>
      </w:r>
      <w:r>
        <w:t xml:space="preserve"> to remove the Georgian detailing</w:t>
      </w:r>
      <w:r w:rsidR="005C23C1">
        <w:t xml:space="preserve"> and provide roof eaves</w:t>
      </w:r>
      <w:r>
        <w:t>.</w:t>
      </w:r>
    </w:p>
    <w:p w14:paraId="1BB67A4F" w14:textId="445D83CD" w:rsidR="00676AF1" w:rsidRDefault="00572244" w:rsidP="006E109D">
      <w:pPr>
        <w:pStyle w:val="Para1"/>
      </w:pPr>
      <w:r>
        <w:t>I accept that t</w:t>
      </w:r>
      <w:r w:rsidR="005C23C1">
        <w:t>here are several examples of neo-Georgian style dwellings in Ralton Avenue</w:t>
      </w:r>
      <w:r w:rsidR="005C23C1">
        <w:rPr>
          <w:rStyle w:val="FootnoteReference"/>
        </w:rPr>
        <w:footnoteReference w:id="15"/>
      </w:r>
      <w:r w:rsidR="005C23C1">
        <w:t xml:space="preserve"> and surrounding streets,</w:t>
      </w:r>
      <w:r w:rsidR="005C23C1" w:rsidRPr="00972D03">
        <w:t xml:space="preserve"> </w:t>
      </w:r>
      <w:r w:rsidR="005C23C1">
        <w:t>and even more in the streets north of Wilson Road.</w:t>
      </w:r>
      <w:r w:rsidR="005C23C1">
        <w:rPr>
          <w:rStyle w:val="FootnoteReference"/>
        </w:rPr>
        <w:footnoteReference w:id="16"/>
      </w:r>
      <w:r w:rsidR="005C23C1">
        <w:t xml:space="preserve">  </w:t>
      </w:r>
      <w:r w:rsidR="004F1574">
        <w:t xml:space="preserve">However, </w:t>
      </w:r>
      <w:r w:rsidR="005C23C1">
        <w:t xml:space="preserve">I am persuaded by the </w:t>
      </w:r>
      <w:r w:rsidR="004F1574">
        <w:t>r</w:t>
      </w:r>
      <w:r w:rsidR="005C23C1">
        <w:t xml:space="preserve">esponsible </w:t>
      </w:r>
      <w:r w:rsidR="004F1574">
        <w:t>a</w:t>
      </w:r>
      <w:r w:rsidR="005C23C1">
        <w:t>uthority’s submissions that this style is more prevalent in the streets north of Wilson Road.  Based on the numerous examples of neo-Georgian style dwellings in the broader surrounding area identified by Mr Ng</w:t>
      </w:r>
      <w:r w:rsidR="00F0655F">
        <w:t>,</w:t>
      </w:r>
      <w:r w:rsidR="005C23C1">
        <w:t xml:space="preserve"> it is apparent that this style is to the taste of many </w:t>
      </w:r>
      <w:r w:rsidR="00E60CA2">
        <w:t>property owners</w:t>
      </w:r>
      <w:r w:rsidR="005C23C1">
        <w:t>.</w:t>
      </w:r>
    </w:p>
    <w:p w14:paraId="622D6F29" w14:textId="26503937" w:rsidR="00742BAD" w:rsidRDefault="00676AF1" w:rsidP="006E109D">
      <w:pPr>
        <w:pStyle w:val="Para1"/>
      </w:pPr>
      <w:r>
        <w:t xml:space="preserve">I cannot ignore the fact that </w:t>
      </w:r>
      <w:r w:rsidR="00E60CA2">
        <w:t>these</w:t>
      </w:r>
      <w:r>
        <w:t xml:space="preserve"> neo-Georgian style dwellings do contribute to the character of the surrounding area, albeit to a lesser extent in Ralton Avenue than many other streets identified by Mr Ng.  </w:t>
      </w:r>
      <w:r w:rsidR="006A31CE">
        <w:t>However, t</w:t>
      </w:r>
      <w:r w:rsidR="00BC2D04" w:rsidRPr="00BC2D04">
        <w:t xml:space="preserve">he </w:t>
      </w:r>
      <w:r w:rsidR="005B2A98">
        <w:t>amendments to</w:t>
      </w:r>
      <w:r w:rsidR="00BC2D04" w:rsidRPr="00BC2D04">
        <w:t xml:space="preserve"> the </w:t>
      </w:r>
      <w:r w:rsidR="006A31CE">
        <w:t xml:space="preserve">local </w:t>
      </w:r>
      <w:r w:rsidR="005A37D5">
        <w:t>R</w:t>
      </w:r>
      <w:r w:rsidR="005A37D5" w:rsidRPr="00196AFA">
        <w:t xml:space="preserve">esidential </w:t>
      </w:r>
      <w:r w:rsidR="008C323D">
        <w:t>D</w:t>
      </w:r>
      <w:r w:rsidR="005A37D5" w:rsidRPr="00196AFA">
        <w:t xml:space="preserve">evelopment and </w:t>
      </w:r>
      <w:r w:rsidR="008C323D">
        <w:t>C</w:t>
      </w:r>
      <w:r w:rsidR="005A37D5" w:rsidRPr="00196AFA">
        <w:t xml:space="preserve">haracter </w:t>
      </w:r>
      <w:r w:rsidR="008C323D">
        <w:t>p</w:t>
      </w:r>
      <w:r w:rsidR="005A37D5" w:rsidRPr="00196AFA">
        <w:t>olicy</w:t>
      </w:r>
      <w:r w:rsidR="005A37D5">
        <w:t xml:space="preserve"> </w:t>
      </w:r>
      <w:r w:rsidR="003A60CA">
        <w:t xml:space="preserve">in </w:t>
      </w:r>
      <w:r w:rsidR="00014736">
        <w:t>November 2019</w:t>
      </w:r>
      <w:r w:rsidR="008D7F4C">
        <w:t>,</w:t>
      </w:r>
      <w:r w:rsidR="00D57F17">
        <w:rPr>
          <w:rStyle w:val="FootnoteReference"/>
        </w:rPr>
        <w:footnoteReference w:id="17"/>
      </w:r>
      <w:r w:rsidR="00BC2D04" w:rsidRPr="00BC2D04">
        <w:t xml:space="preserve"> </w:t>
      </w:r>
      <w:r w:rsidR="008D7F4C">
        <w:t xml:space="preserve">which introduced </w:t>
      </w:r>
      <w:r w:rsidR="00414FAF">
        <w:t>the</w:t>
      </w:r>
      <w:r w:rsidR="008D7F4C">
        <w:t xml:space="preserve"> policy </w:t>
      </w:r>
      <w:r w:rsidR="006A31CE">
        <w:t>to discourage reproduction or mock-historic building styles</w:t>
      </w:r>
      <w:r w:rsidR="00A90F64">
        <w:t>,</w:t>
      </w:r>
      <w:r w:rsidR="006A31CE">
        <w:t xml:space="preserve"> </w:t>
      </w:r>
      <w:r w:rsidR="00BC2D04" w:rsidRPr="00BC2D04">
        <w:t xml:space="preserve">indicates that the responsible authority is seeking to achieve a different character outcome. </w:t>
      </w:r>
      <w:r w:rsidR="00F56507">
        <w:t xml:space="preserve"> Despite the existence of </w:t>
      </w:r>
      <w:r w:rsidR="00BC5B2D">
        <w:t xml:space="preserve">neo-Georgian style dwellings in proximity to </w:t>
      </w:r>
      <w:r w:rsidR="009E6610">
        <w:t>t</w:t>
      </w:r>
      <w:r w:rsidR="00BC5B2D">
        <w:t>he subject land, I cannot ignore this local policy.</w:t>
      </w:r>
    </w:p>
    <w:p w14:paraId="67B9594D" w14:textId="3BA53053" w:rsidR="000C4563" w:rsidRPr="00DC16CA" w:rsidRDefault="000C4563" w:rsidP="006E109D">
      <w:pPr>
        <w:pStyle w:val="Para1"/>
      </w:pPr>
      <w:r w:rsidRPr="00DC16CA">
        <w:t xml:space="preserve">The extent to which </w:t>
      </w:r>
      <w:r w:rsidR="00347F51" w:rsidRPr="00DC16CA">
        <w:t>the</w:t>
      </w:r>
      <w:r w:rsidRPr="00DC16CA">
        <w:t xml:space="preserve"> character outcome </w:t>
      </w:r>
      <w:r w:rsidR="00347F51" w:rsidRPr="00DC16CA">
        <w:t xml:space="preserve">being sought </w:t>
      </w:r>
      <w:r w:rsidRPr="00DC16CA">
        <w:t>may be achieved i</w:t>
      </w:r>
      <w:r w:rsidR="004F1C71" w:rsidRPr="00DC16CA">
        <w:t>s</w:t>
      </w:r>
      <w:r w:rsidRPr="00DC16CA">
        <w:t xml:space="preserve"> somewhat tempered by the fact that </w:t>
      </w:r>
      <w:r w:rsidR="00D339A4" w:rsidRPr="00DC16CA">
        <w:t xml:space="preserve">this local policy can only be applied to </w:t>
      </w:r>
      <w:r w:rsidR="004F1C71" w:rsidRPr="00DC16CA">
        <w:t xml:space="preserve">residential </w:t>
      </w:r>
      <w:r w:rsidR="00D339A4" w:rsidRPr="00DC16CA">
        <w:t xml:space="preserve">developments that require a planning permit.  As such, single dwelling developments that do not require a planning permit will not be </w:t>
      </w:r>
      <w:r w:rsidR="003837E4" w:rsidRPr="00DC16CA">
        <w:t>constrained</w:t>
      </w:r>
      <w:r w:rsidR="00D339A4" w:rsidRPr="00DC16CA">
        <w:t xml:space="preserve"> by this policy.</w:t>
      </w:r>
    </w:p>
    <w:p w14:paraId="19552D3C" w14:textId="64BEA55F" w:rsidR="004461A9" w:rsidRDefault="004461A9" w:rsidP="004461A9">
      <w:pPr>
        <w:pStyle w:val="Para1"/>
      </w:pPr>
      <w:r>
        <w:t>For these reason</w:t>
      </w:r>
      <w:r w:rsidR="00DC16CA">
        <w:t>s,</w:t>
      </w:r>
      <w:r>
        <w:t xml:space="preserve"> while I find that the detailed design of the facades of the proposed buildings should be modified to </w:t>
      </w:r>
      <w:r w:rsidR="000E19D6">
        <w:t xml:space="preserve">remove some of the Georgian details, </w:t>
      </w:r>
      <w:r>
        <w:t xml:space="preserve">I am not persuaded that it is reasonable or necessary to </w:t>
      </w:r>
      <w:r w:rsidR="00821CFD">
        <w:t>remove</w:t>
      </w:r>
      <w:r>
        <w:t xml:space="preserve"> every Georgian design element to provide an acceptable outcome</w:t>
      </w:r>
      <w:r w:rsidRPr="004E5722">
        <w:t xml:space="preserve"> </w:t>
      </w:r>
      <w:r>
        <w:t xml:space="preserve">in the </w:t>
      </w:r>
      <w:r w:rsidR="000E19D6">
        <w:t>subject land’s</w:t>
      </w:r>
      <w:r>
        <w:t xml:space="preserve"> context.</w:t>
      </w:r>
      <w:r w:rsidR="00602500">
        <w:t xml:space="preserve">  </w:t>
      </w:r>
      <w:r w:rsidR="005439B3">
        <w:t>In this regard I note the following:</w:t>
      </w:r>
    </w:p>
    <w:p w14:paraId="0F40E9F3" w14:textId="3ABECF41" w:rsidR="000414E6" w:rsidRDefault="000414E6" w:rsidP="003433F4">
      <w:pPr>
        <w:pStyle w:val="Para3"/>
      </w:pPr>
      <w:r w:rsidRPr="00A033A4">
        <w:t xml:space="preserve">I am satisfied that it is not necessary to </w:t>
      </w:r>
      <w:r w:rsidR="00A727D9" w:rsidRPr="00A033A4">
        <w:t>modify the window styles, proportions and placements, or the column details to the ground floor level</w:t>
      </w:r>
      <w:r w:rsidR="00A033A4" w:rsidRPr="00A033A4">
        <w:t xml:space="preserve"> facades.</w:t>
      </w:r>
      <w:r w:rsidR="00614B96">
        <w:t xml:space="preserve">  They are not out of place with contemporary development in the surrounding area.</w:t>
      </w:r>
    </w:p>
    <w:p w14:paraId="5564CCCB" w14:textId="39A700C5" w:rsidR="00FD2EB6" w:rsidRDefault="00FD2EB6" w:rsidP="005439B3">
      <w:pPr>
        <w:pStyle w:val="Para3"/>
      </w:pPr>
      <w:r w:rsidRPr="003831A1">
        <w:t xml:space="preserve">I </w:t>
      </w:r>
      <w:r w:rsidR="00031054" w:rsidRPr="00A033A4">
        <w:t xml:space="preserve">am satisfied that it is not necessary </w:t>
      </w:r>
      <w:r w:rsidRPr="003831A1">
        <w:t xml:space="preserve">for the metal balustrade across the first floor level windows to be removed.  Rather the design of these ornate </w:t>
      </w:r>
      <w:r w:rsidR="000B00A2">
        <w:t xml:space="preserve">Georgian style </w:t>
      </w:r>
      <w:r w:rsidRPr="003831A1">
        <w:t xml:space="preserve">elements could be simplified to be </w:t>
      </w:r>
      <w:r w:rsidR="00CB7AB0">
        <w:t>straight</w:t>
      </w:r>
      <w:r w:rsidRPr="003831A1">
        <w:t xml:space="preserve"> horizontal or vertical rails</w:t>
      </w:r>
      <w:r w:rsidR="00BD7B8F">
        <w:t>, or similar</w:t>
      </w:r>
      <w:r w:rsidR="00602BB5">
        <w:t>.</w:t>
      </w:r>
    </w:p>
    <w:p w14:paraId="72A8D5FC" w14:textId="45EA4D64" w:rsidR="007234D1" w:rsidRDefault="0040062C" w:rsidP="007234D1">
      <w:pPr>
        <w:pStyle w:val="Para3"/>
      </w:pPr>
      <w:r>
        <w:rPr>
          <w:noProof/>
        </w:rPr>
        <w:lastRenderedPageBreak/>
        <w:drawing>
          <wp:anchor distT="0" distB="0" distL="114300" distR="114300" simplePos="0" relativeHeight="251666432" behindDoc="1" locked="0" layoutInCell="1" allowOverlap="1" wp14:anchorId="48A7DC81" wp14:editId="309EB280">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234D1">
        <w:t>I find that the moulding around the top of the ground floor and first floor level walls make</w:t>
      </w:r>
      <w:r w:rsidR="00BC3221">
        <w:t>s</w:t>
      </w:r>
      <w:r w:rsidR="007234D1">
        <w:t xml:space="preserve"> a distinct contribution to the neo-Georgian style of the buildings and should be removed.</w:t>
      </w:r>
    </w:p>
    <w:p w14:paraId="06ECF7CE" w14:textId="6F692B1A" w:rsidR="00080689" w:rsidRPr="004421E3" w:rsidRDefault="007129E3" w:rsidP="00683AA3">
      <w:pPr>
        <w:pStyle w:val="Para3"/>
      </w:pPr>
      <w:r>
        <w:t>Given the overwhelming prevalence of hipped roofs with eaves of both the remnant original housing stock and newer infill developments, I am satisfied that roofs with eaves is a prevailing characteristic within this area.  However</w:t>
      </w:r>
      <w:r w:rsidR="00EC3CD4">
        <w:t>,</w:t>
      </w:r>
      <w:r>
        <w:t xml:space="preserve"> </w:t>
      </w:r>
      <w:r w:rsidR="0034326F">
        <w:t xml:space="preserve">I am not satisfied that a roof with eaves can be readily retro-fitted to the ground floor level of the </w:t>
      </w:r>
      <w:r w:rsidR="00EC3CD4">
        <w:t>proposed buildings</w:t>
      </w:r>
      <w:r w:rsidR="0034326F">
        <w:t>.</w:t>
      </w:r>
      <w:r w:rsidR="006A6249">
        <w:t xml:space="preserve">  Nor do I think it is necessary from a character perspective</w:t>
      </w:r>
      <w:r w:rsidR="00EC3CD4">
        <w:t xml:space="preserve">. </w:t>
      </w:r>
      <w:r w:rsidR="006A6249">
        <w:t xml:space="preserve"> </w:t>
      </w:r>
      <w:r w:rsidR="00EC3CD4">
        <w:t>T</w:t>
      </w:r>
      <w:r w:rsidR="006A6249">
        <w:t>he</w:t>
      </w:r>
      <w:r w:rsidR="00EC3CD4">
        <w:t>re</w:t>
      </w:r>
      <w:r w:rsidR="006A6249">
        <w:t xml:space="preserve"> </w:t>
      </w:r>
      <w:r w:rsidR="00EC3CD4">
        <w:t xml:space="preserve">are many examples </w:t>
      </w:r>
      <w:r w:rsidR="006A6249">
        <w:t>of double</w:t>
      </w:r>
      <w:r w:rsidR="000E14A9">
        <w:t>-</w:t>
      </w:r>
      <w:r w:rsidR="006A6249">
        <w:t xml:space="preserve">storey dwellings in the surrounding area </w:t>
      </w:r>
      <w:r w:rsidR="001A0126">
        <w:t xml:space="preserve">that do not have hipped roofs or eaves </w:t>
      </w:r>
      <w:r w:rsidR="00242962">
        <w:t>at</w:t>
      </w:r>
      <w:r w:rsidR="00D32325">
        <w:t xml:space="preserve"> ground floor level</w:t>
      </w:r>
      <w:r w:rsidR="008F2C9D">
        <w:t>.</w:t>
      </w:r>
      <w:r w:rsidR="00EC3CD4">
        <w:rPr>
          <w:rStyle w:val="FootnoteReference"/>
        </w:rPr>
        <w:footnoteReference w:id="18"/>
      </w:r>
      <w:r w:rsidR="00303D9B">
        <w:t xml:space="preserve">  </w:t>
      </w:r>
      <w:r w:rsidR="00F61763">
        <w:t xml:space="preserve">For this reason, I find that rather than prescribing that </w:t>
      </w:r>
      <w:r w:rsidR="00B10A10">
        <w:t xml:space="preserve">eave elements be provided to </w:t>
      </w:r>
      <w:r w:rsidR="00F61763">
        <w:t>the ground floor level</w:t>
      </w:r>
      <w:r w:rsidR="00DC6DF5" w:rsidRPr="004421E3">
        <w:t xml:space="preserve">, </w:t>
      </w:r>
      <w:bookmarkStart w:id="21" w:name="_Hlk62046443"/>
      <w:r w:rsidR="00B10A10">
        <w:t xml:space="preserve">roof </w:t>
      </w:r>
      <w:r w:rsidR="00FB51CD" w:rsidRPr="004421E3">
        <w:t xml:space="preserve">eaves </w:t>
      </w:r>
      <w:r w:rsidR="00AB5174" w:rsidRPr="004421E3">
        <w:t xml:space="preserve">could </w:t>
      </w:r>
      <w:r w:rsidR="00FB51CD" w:rsidRPr="004421E3">
        <w:t xml:space="preserve">be provided </w:t>
      </w:r>
      <w:r w:rsidR="00FB51CD" w:rsidRPr="00A03D82">
        <w:t>either</w:t>
      </w:r>
      <w:r w:rsidR="00FB51CD" w:rsidRPr="004421E3">
        <w:t xml:space="preserve"> at ground floor or first floor level.</w:t>
      </w:r>
      <w:bookmarkEnd w:id="21"/>
    </w:p>
    <w:p w14:paraId="1EDD23E0" w14:textId="74CA4532" w:rsidR="00AB5174" w:rsidRPr="004421E3" w:rsidRDefault="00AB5174" w:rsidP="00E200CF">
      <w:pPr>
        <w:pStyle w:val="Para1"/>
      </w:pPr>
      <w:r w:rsidRPr="004421E3">
        <w:t xml:space="preserve">I will </w:t>
      </w:r>
      <w:r w:rsidR="008671BA">
        <w:t>amend</w:t>
      </w:r>
      <w:r w:rsidR="00712891" w:rsidRPr="004421E3">
        <w:t xml:space="preserve"> condition </w:t>
      </w:r>
      <w:r w:rsidR="004421E3" w:rsidRPr="004421E3">
        <w:t>1(a) accordingly.</w:t>
      </w:r>
    </w:p>
    <w:p w14:paraId="231B975F" w14:textId="2587A58E" w:rsidR="00E200CF" w:rsidRDefault="00631828" w:rsidP="00E200CF">
      <w:pPr>
        <w:pStyle w:val="Heading2"/>
      </w:pPr>
      <w:r w:rsidRPr="00631828">
        <w:t xml:space="preserve">Are conditions 8 to 11 relevant conditions that should be included on the </w:t>
      </w:r>
      <w:r w:rsidR="001111DD">
        <w:t xml:space="preserve">planning </w:t>
      </w:r>
      <w:r w:rsidRPr="00631828">
        <w:t>permit?</w:t>
      </w:r>
    </w:p>
    <w:p w14:paraId="5643C017" w14:textId="010F98BD" w:rsidR="001E65AF" w:rsidRDefault="001E65AF" w:rsidP="003064A9">
      <w:pPr>
        <w:pStyle w:val="Para1"/>
      </w:pPr>
      <w:r>
        <w:t>Conditions 8 to 11 of the permit are:</w:t>
      </w:r>
    </w:p>
    <w:p w14:paraId="4E6349F9" w14:textId="76232EB7" w:rsidR="001E65AF" w:rsidRDefault="00A15309" w:rsidP="00A15309">
      <w:pPr>
        <w:pStyle w:val="Quote2"/>
      </w:pPr>
      <w:r>
        <w:t>8.</w:t>
      </w:r>
      <w:r>
        <w:tab/>
        <w:t xml:space="preserve">All </w:t>
      </w:r>
      <w:r w:rsidR="00F650D1">
        <w:t>stormwater</w:t>
      </w:r>
      <w:r>
        <w:t xml:space="preserve"> collected on the site f</w:t>
      </w:r>
      <w:r w:rsidR="003D7414">
        <w:t>r</w:t>
      </w:r>
      <w:r>
        <w:t xml:space="preserve">om all hard surface areas must not be allowed to flow uncontrolled into </w:t>
      </w:r>
      <w:r w:rsidR="00F650D1">
        <w:t>adjoining</w:t>
      </w:r>
      <w:r>
        <w:t xml:space="preserve"> properties or the </w:t>
      </w:r>
      <w:r w:rsidR="00F650D1">
        <w:t>r</w:t>
      </w:r>
      <w:r>
        <w:t>oad reserve.</w:t>
      </w:r>
    </w:p>
    <w:p w14:paraId="3245CEB3" w14:textId="2B760D4E" w:rsidR="00A15309" w:rsidRDefault="00A15309" w:rsidP="00A15309">
      <w:pPr>
        <w:pStyle w:val="Quote2"/>
      </w:pPr>
      <w:r>
        <w:t>9.</w:t>
      </w:r>
      <w:r>
        <w:tab/>
        <w:t>All storm</w:t>
      </w:r>
      <w:r w:rsidR="00B90D56">
        <w:t xml:space="preserve">water collected on the site is to be detained on-site to the predevelopment level of peak stormwater discharge. The design of any internal detention system is to be approved by the </w:t>
      </w:r>
      <w:r w:rsidR="00F650D1">
        <w:t>council’s</w:t>
      </w:r>
      <w:r w:rsidR="00B90D56">
        <w:t xml:space="preserve"> Engineering Department prior to </w:t>
      </w:r>
      <w:r w:rsidR="00F650D1">
        <w:t>drainage</w:t>
      </w:r>
      <w:r w:rsidR="00F36580">
        <w:t xml:space="preserve"> works commencing.</w:t>
      </w:r>
    </w:p>
    <w:p w14:paraId="3D202005" w14:textId="26CFD1D4" w:rsidR="00F36580" w:rsidRDefault="00F36580" w:rsidP="00A15309">
      <w:pPr>
        <w:pStyle w:val="Quote2"/>
      </w:pPr>
      <w:r>
        <w:t>10.</w:t>
      </w:r>
      <w:r>
        <w:tab/>
        <w:t>The nominated point of stormwater connection for the site is to the south-west corner of the property where the entire site’s stormwater must be collected and free drained via a pip</w:t>
      </w:r>
      <w:r w:rsidR="00F17642">
        <w:t>e</w:t>
      </w:r>
      <w:r>
        <w:t xml:space="preserve"> to the Council pit in the rear easement of 33 Ralton Avenue to be constructed to Council Standards.  Note:  If the point of connection cannot be located then notify Council’s Engineering Department immediately.</w:t>
      </w:r>
    </w:p>
    <w:p w14:paraId="4361330B" w14:textId="166FF86F" w:rsidR="00F36580" w:rsidRDefault="00437A3D" w:rsidP="00A15309">
      <w:pPr>
        <w:pStyle w:val="Quote2"/>
      </w:pPr>
      <w:r>
        <w:t>11.</w:t>
      </w:r>
      <w:r>
        <w:tab/>
        <w:t>Stormwater discharge is to be detained on site to the predevelopment level of peak stormwater discharge.  Approval of any detention system is required by the Responsible Authority, prior to works commencing.</w:t>
      </w:r>
      <w:r w:rsidR="00F650D1">
        <w:br/>
        <w:t>Note: A drainage contribution may be acceptable in lieu of the installation of the detention system to the satisfaction of the Council’s Engineering Division.</w:t>
      </w:r>
    </w:p>
    <w:p w14:paraId="7126EE8F" w14:textId="592499F8" w:rsidR="003064A9" w:rsidRPr="003064A9" w:rsidRDefault="006E09C5" w:rsidP="003064A9">
      <w:pPr>
        <w:pStyle w:val="Para1"/>
      </w:pPr>
      <w:r>
        <w:t>Mr Ng</w:t>
      </w:r>
      <w:r w:rsidR="00A0321B">
        <w:t xml:space="preserve"> submits</w:t>
      </w:r>
      <w:r w:rsidR="00A90F91" w:rsidRPr="00A90F91">
        <w:t xml:space="preserve"> </w:t>
      </w:r>
      <w:r w:rsidR="00A90F91">
        <w:t>that c</w:t>
      </w:r>
      <w:r w:rsidR="00A0321B">
        <w:t xml:space="preserve">onditions 8 to 11 </w:t>
      </w:r>
      <w:r w:rsidR="00A90F91">
        <w:t>are conditions that are the province of the building regulations and should not “pad up a planning permit”.</w:t>
      </w:r>
      <w:r w:rsidR="003064A9">
        <w:t xml:space="preserve">  </w:t>
      </w:r>
      <w:r w:rsidR="003064A9" w:rsidRPr="003064A9">
        <w:t xml:space="preserve">The applicant submits that </w:t>
      </w:r>
      <w:r w:rsidR="007F638F">
        <w:t xml:space="preserve">these </w:t>
      </w:r>
      <w:r w:rsidR="003064A9" w:rsidRPr="003064A9">
        <w:t xml:space="preserve">conditions should be deleted or simply replaced </w:t>
      </w:r>
      <w:r w:rsidR="0040062C">
        <w:rPr>
          <w:noProof/>
        </w:rPr>
        <w:lastRenderedPageBreak/>
        <w:drawing>
          <wp:anchor distT="0" distB="0" distL="114300" distR="114300" simplePos="0" relativeHeight="251667456" behindDoc="1" locked="0" layoutInCell="1" allowOverlap="1" wp14:anchorId="6C339FAD" wp14:editId="70D61F56">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064A9" w:rsidRPr="003064A9">
        <w:t>by a condition that requires the drainage to be to the satisfaction of the responsible authority.</w:t>
      </w:r>
    </w:p>
    <w:p w14:paraId="4B4F7B5E" w14:textId="791CEEBC" w:rsidR="00A90F91" w:rsidRDefault="00A90F91" w:rsidP="006E109D">
      <w:pPr>
        <w:pStyle w:val="Para1"/>
      </w:pPr>
      <w:r>
        <w:t xml:space="preserve">In relation to the note at the end of condition 11 </w:t>
      </w:r>
      <w:r w:rsidR="008D2825">
        <w:t>regarding</w:t>
      </w:r>
      <w:r>
        <w:t xml:space="preserve"> </w:t>
      </w:r>
      <w:r w:rsidR="00D333D8">
        <w:t xml:space="preserve">a </w:t>
      </w:r>
      <w:r>
        <w:t xml:space="preserve">drainage contribution in lieu of the installation of the detention system, </w:t>
      </w:r>
      <w:r w:rsidR="006E09C5">
        <w:t>Mr Ng</w:t>
      </w:r>
      <w:r>
        <w:t xml:space="preserve"> says that the Council cannot exact a financial contribution unless it has an approved development contributions plan in place</w:t>
      </w:r>
      <w:r w:rsidR="00C331E2">
        <w:t xml:space="preserve"> pursuant to </w:t>
      </w:r>
      <w:r w:rsidR="00443784">
        <w:t xml:space="preserve">section 46N of the </w:t>
      </w:r>
      <w:r w:rsidR="00443784" w:rsidRPr="00443784">
        <w:rPr>
          <w:i/>
          <w:iCs/>
        </w:rPr>
        <w:t>Planning an</w:t>
      </w:r>
      <w:r w:rsidR="005F4129">
        <w:rPr>
          <w:i/>
          <w:iCs/>
        </w:rPr>
        <w:t>d</w:t>
      </w:r>
      <w:r w:rsidR="00443784" w:rsidRPr="00443784">
        <w:rPr>
          <w:i/>
          <w:iCs/>
        </w:rPr>
        <w:t xml:space="preserve"> Environment Act 1987</w:t>
      </w:r>
      <w:r>
        <w:t>.</w:t>
      </w:r>
    </w:p>
    <w:p w14:paraId="05BF8E48" w14:textId="428F5586" w:rsidR="003064A9" w:rsidRDefault="00CF2020" w:rsidP="006E109D">
      <w:pPr>
        <w:pStyle w:val="Para1"/>
      </w:pPr>
      <w:r>
        <w:t>The responsible authority submits that the l</w:t>
      </w:r>
      <w:r w:rsidR="003064A9">
        <w:t xml:space="preserve">ocal policy for stormwater management </w:t>
      </w:r>
      <w:r w:rsidR="005F4129">
        <w:t>c</w:t>
      </w:r>
      <w:r w:rsidR="003064A9">
        <w:t>lause 22.04</w:t>
      </w:r>
      <w:r w:rsidR="00D7291D">
        <w:t xml:space="preserve"> was modified (in </w:t>
      </w:r>
      <w:r w:rsidR="00863376">
        <w:t>2004) to incorporate the findings of the Monash Drainage Development Contributions Plan (</w:t>
      </w:r>
      <w:r w:rsidR="00C85327">
        <w:t>October 2002)</w:t>
      </w:r>
      <w:r w:rsidR="009578CD">
        <w:t>.  It says</w:t>
      </w:r>
      <w:r w:rsidR="006827B1">
        <w:t xml:space="preserve"> this</w:t>
      </w:r>
      <w:r w:rsidR="00863376">
        <w:t xml:space="preserve"> </w:t>
      </w:r>
      <w:r w:rsidR="004F552C">
        <w:t>identifies voluntary levies that can be paid if on-site</w:t>
      </w:r>
      <w:r w:rsidR="00190892">
        <w:t xml:space="preserve"> </w:t>
      </w:r>
      <w:r w:rsidR="009578CD">
        <w:t xml:space="preserve">stormwater </w:t>
      </w:r>
      <w:r w:rsidR="004F552C">
        <w:t>retention systems are not provided.</w:t>
      </w:r>
      <w:r w:rsidR="00C85327">
        <w:t xml:space="preserve">  It further submits that </w:t>
      </w:r>
      <w:r w:rsidR="00A7744C">
        <w:t>the levy only applies if there is an increase in impervious area above 35% of the site area</w:t>
      </w:r>
      <w:r w:rsidR="000C7626">
        <w:t xml:space="preserve">.  It </w:t>
      </w:r>
      <w:r w:rsidR="000B4A31">
        <w:t>says the proposal includes an area of approximately 63% of impervious surfaces and</w:t>
      </w:r>
      <w:r w:rsidR="00BB2BD6">
        <w:t>,</w:t>
      </w:r>
      <w:r w:rsidR="000B4A31">
        <w:t xml:space="preserve"> as such</w:t>
      </w:r>
      <w:r w:rsidR="00BB2BD6">
        <w:t>,</w:t>
      </w:r>
      <w:r w:rsidR="000B4A31">
        <w:t xml:space="preserve"> a drainage contribution is applicable in line with the policy provisions</w:t>
      </w:r>
      <w:r w:rsidR="00A7744C">
        <w:t>.</w:t>
      </w:r>
    </w:p>
    <w:p w14:paraId="7BCD7035" w14:textId="53EEDED5" w:rsidR="006F6064" w:rsidRDefault="00A90F91" w:rsidP="00E200CF">
      <w:pPr>
        <w:pStyle w:val="Para1"/>
      </w:pPr>
      <w:r>
        <w:t xml:space="preserve">I </w:t>
      </w:r>
      <w:r w:rsidR="004F7A6C">
        <w:t>acknowledge</w:t>
      </w:r>
      <w:r>
        <w:t xml:space="preserve"> the applicant’s submissions that stormwater management and discharge are typically matters addressed under the relevant regulations as part of the building permit stage of development.</w:t>
      </w:r>
      <w:r w:rsidR="00AF7D49">
        <w:t xml:space="preserve">  It is not necessary or appropriate for planning permits to include conditions that address matters that are dealt with under other legislation o</w:t>
      </w:r>
      <w:r w:rsidR="000E57CF">
        <w:t xml:space="preserve">r other permit processes.  For example, it is </w:t>
      </w:r>
      <w:r w:rsidR="003066E0">
        <w:t xml:space="preserve">not </w:t>
      </w:r>
      <w:r w:rsidR="003066E0" w:rsidRPr="00077900">
        <w:t xml:space="preserve">necessary for condition </w:t>
      </w:r>
      <w:r w:rsidR="00E724A5" w:rsidRPr="00077900">
        <w:t>10</w:t>
      </w:r>
      <w:r w:rsidR="00434598">
        <w:t xml:space="preserve"> to be included</w:t>
      </w:r>
      <w:r w:rsidR="00894B27">
        <w:t xml:space="preserve"> on the planning permit</w:t>
      </w:r>
      <w:r w:rsidR="00434598">
        <w:t xml:space="preserve"> as </w:t>
      </w:r>
      <w:r w:rsidR="00894B27">
        <w:t xml:space="preserve">the legal point of discharge for stormwater drainage </w:t>
      </w:r>
      <w:r w:rsidR="0091444D">
        <w:t xml:space="preserve">is </w:t>
      </w:r>
      <w:r w:rsidR="00434598">
        <w:t>addressed through the building permit process.</w:t>
      </w:r>
    </w:p>
    <w:p w14:paraId="7C048EC1" w14:textId="2699BB2A" w:rsidR="004A2078" w:rsidRDefault="00A90F91" w:rsidP="00E200CF">
      <w:pPr>
        <w:pStyle w:val="Para1"/>
      </w:pPr>
      <w:r>
        <w:t xml:space="preserve">However, </w:t>
      </w:r>
      <w:r w:rsidR="00091DFF">
        <w:t xml:space="preserve">the </w:t>
      </w:r>
      <w:r w:rsidR="00BB2BD6">
        <w:t>p</w:t>
      </w:r>
      <w:r w:rsidR="00091DFF">
        <w:t xml:space="preserve">lanning </w:t>
      </w:r>
      <w:r w:rsidR="00BB2BD6">
        <w:t>s</w:t>
      </w:r>
      <w:r w:rsidR="00091DFF">
        <w:t>cheme includes a local strategic statement (clause 21.11 Physical Infrastructure) and local planning policy (clause 22.04 Stormwater management policy) that specifically address the matter of stormwater infrastructure and management.</w:t>
      </w:r>
    </w:p>
    <w:p w14:paraId="22313546" w14:textId="5909D5DF" w:rsidR="00A90F91" w:rsidRDefault="0031077B" w:rsidP="00E200CF">
      <w:pPr>
        <w:pStyle w:val="Para1"/>
      </w:pPr>
      <w:r>
        <w:t xml:space="preserve">The </w:t>
      </w:r>
      <w:r w:rsidR="00461990">
        <w:t xml:space="preserve">local stormwater management </w:t>
      </w:r>
      <w:r>
        <w:t>policy at clause 22.04</w:t>
      </w:r>
      <w:r w:rsidR="00461990">
        <w:t>-3</w:t>
      </w:r>
      <w:r>
        <w:t xml:space="preserve"> specifically seeks, among other things:</w:t>
      </w:r>
    </w:p>
    <w:p w14:paraId="68AA3A82" w14:textId="2A9EBE7E" w:rsidR="0031077B" w:rsidRDefault="0031077B" w:rsidP="006E109D">
      <w:pPr>
        <w:pStyle w:val="Quote3"/>
      </w:pPr>
      <w:r>
        <w:t>Stormwater flows generated from increased impervious areas be managed by on-site retention systems.</w:t>
      </w:r>
    </w:p>
    <w:p w14:paraId="107851D6" w14:textId="5467CC01" w:rsidR="0031077B" w:rsidRDefault="0031077B" w:rsidP="006E109D">
      <w:pPr>
        <w:pStyle w:val="Quote3"/>
      </w:pPr>
      <w:r>
        <w:t>All stormwater generated from water falling on the impervious surfaces of a site be collected and discharged, via an on-site stormwater retention system, into the point of discharge nominated by the responsible authority.</w:t>
      </w:r>
    </w:p>
    <w:p w14:paraId="7A01D5A6" w14:textId="34BC1117" w:rsidR="0031077B" w:rsidRDefault="0031077B" w:rsidP="006E109D">
      <w:pPr>
        <w:pStyle w:val="Quote3"/>
      </w:pPr>
      <w:r>
        <w:t>The rate of discharge be limited to the design discharge for the site prior to development or redevelopment.</w:t>
      </w:r>
      <w:r>
        <w:rPr>
          <w:rStyle w:val="FootnoteReference"/>
        </w:rPr>
        <w:footnoteReference w:id="19"/>
      </w:r>
    </w:p>
    <w:p w14:paraId="029E4583" w14:textId="14AC899E" w:rsidR="005B49F2" w:rsidRDefault="0040062C" w:rsidP="0091444D">
      <w:pPr>
        <w:pStyle w:val="Para1"/>
        <w:keepNext/>
      </w:pPr>
      <w:r>
        <w:rPr>
          <w:noProof/>
        </w:rPr>
        <w:lastRenderedPageBreak/>
        <w:drawing>
          <wp:anchor distT="0" distB="0" distL="114300" distR="114300" simplePos="0" relativeHeight="251668480" behindDoc="1" locked="0" layoutInCell="1" allowOverlap="1" wp14:anchorId="3A282068" wp14:editId="4CE613FD">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49F2">
        <w:t>The decision guidelines at clause 22.04-4 include</w:t>
      </w:r>
      <w:r w:rsidR="00757A2C">
        <w:t>, as relevant:</w:t>
      </w:r>
    </w:p>
    <w:p w14:paraId="3CFDE99E" w14:textId="2F8DA3B1" w:rsidR="00757A2C" w:rsidRDefault="00757A2C" w:rsidP="006E109D">
      <w:pPr>
        <w:pStyle w:val="Quote3"/>
      </w:pPr>
      <w:r>
        <w:t>Whether the proposed works will significantly add to the stormwater discharge or adversely affect water quality entering the drainage system.</w:t>
      </w:r>
    </w:p>
    <w:p w14:paraId="13060743" w14:textId="786C6C5D" w:rsidR="00757A2C" w:rsidRDefault="00757A2C" w:rsidP="006E109D">
      <w:pPr>
        <w:pStyle w:val="Quote3"/>
      </w:pPr>
      <w:r>
        <w:t>Whether on-site retention is provided. If it is not provided, whether a financial levy is appropriate in accordance with the levies indicated in the table to this clause.</w:t>
      </w:r>
    </w:p>
    <w:p w14:paraId="3AE04A82" w14:textId="5DA6632E" w:rsidR="00E61D97" w:rsidRDefault="00E61D97" w:rsidP="00E200CF">
      <w:pPr>
        <w:pStyle w:val="Para1"/>
      </w:pPr>
      <w:r>
        <w:t>The t</w:t>
      </w:r>
      <w:r w:rsidRPr="00E61D97">
        <w:t xml:space="preserve">able to </w:t>
      </w:r>
      <w:r w:rsidR="00A61E53">
        <w:t>c</w:t>
      </w:r>
      <w:r w:rsidRPr="00E61D97">
        <w:t>lause 22.04-4</w:t>
      </w:r>
      <w:r>
        <w:t xml:space="preserve"> </w:t>
      </w:r>
      <w:r w:rsidR="00084F93">
        <w:t>specifies levy amounts</w:t>
      </w:r>
      <w:r w:rsidR="00971429">
        <w:rPr>
          <w:rStyle w:val="FootnoteReference"/>
        </w:rPr>
        <w:footnoteReference w:id="20"/>
      </w:r>
      <w:r w:rsidR="00084F93">
        <w:t xml:space="preserve"> for different catchment areas.</w:t>
      </w:r>
    </w:p>
    <w:p w14:paraId="585D3561" w14:textId="43403F0A" w:rsidR="00927616" w:rsidRDefault="0031077B" w:rsidP="006E109D">
      <w:pPr>
        <w:pStyle w:val="Para1"/>
      </w:pPr>
      <w:r>
        <w:t>In these circumstances</w:t>
      </w:r>
      <w:r w:rsidR="00AF20EC">
        <w:t>,</w:t>
      </w:r>
      <w:r>
        <w:t xml:space="preserve"> I consider it acceptable that the planning permit conditions give effect to this policy.</w:t>
      </w:r>
      <w:r w:rsidR="002E3C8C">
        <w:t xml:space="preserve">  </w:t>
      </w:r>
      <w:r w:rsidR="009162A7">
        <w:t xml:space="preserve">However, </w:t>
      </w:r>
      <w:r w:rsidR="00C54770">
        <w:t xml:space="preserve">I am persuaded that </w:t>
      </w:r>
      <w:r w:rsidR="002E3C8C">
        <w:t>conditions 8</w:t>
      </w:r>
      <w:r w:rsidR="007B6BE5">
        <w:t>, 9 and</w:t>
      </w:r>
      <w:r w:rsidR="002E3C8C">
        <w:t xml:space="preserve"> 11 </w:t>
      </w:r>
      <w:r w:rsidR="00D3033A">
        <w:t xml:space="preserve">in their current form </w:t>
      </w:r>
      <w:r w:rsidR="002E3C8C">
        <w:t>are not necessary</w:t>
      </w:r>
      <w:r w:rsidR="004457E2">
        <w:t xml:space="preserve"> </w:t>
      </w:r>
      <w:r w:rsidR="002E3C8C">
        <w:t>to achieve this.</w:t>
      </w:r>
    </w:p>
    <w:p w14:paraId="63171C47" w14:textId="5B98255A" w:rsidR="005963B9" w:rsidRDefault="005963B9" w:rsidP="006E109D">
      <w:pPr>
        <w:pStyle w:val="Para1"/>
      </w:pPr>
      <w:r>
        <w:t xml:space="preserve">Condition 8 </w:t>
      </w:r>
      <w:r w:rsidR="003338A7">
        <w:t xml:space="preserve">is superfluous in the context of conditions </w:t>
      </w:r>
      <w:r w:rsidR="009B4B50">
        <w:t xml:space="preserve">9 and 11 that require the collection </w:t>
      </w:r>
      <w:r w:rsidR="002B3A41">
        <w:t>and detention of stormwater</w:t>
      </w:r>
      <w:r w:rsidR="00242EB7">
        <w:t xml:space="preserve"> </w:t>
      </w:r>
      <w:r w:rsidR="00A16F9A">
        <w:t>on</w:t>
      </w:r>
      <w:r w:rsidR="00AF20EC">
        <w:t xml:space="preserve"> the </w:t>
      </w:r>
      <w:r w:rsidR="00A16F9A">
        <w:t xml:space="preserve">site </w:t>
      </w:r>
      <w:r w:rsidR="00242EB7">
        <w:t>prior to its discharge</w:t>
      </w:r>
      <w:r w:rsidR="00AA3199">
        <w:t>.</w:t>
      </w:r>
    </w:p>
    <w:p w14:paraId="502B6760" w14:textId="71C9BAFB" w:rsidR="00914DFA" w:rsidRPr="009C4128" w:rsidRDefault="002E3C8C" w:rsidP="006E109D">
      <w:pPr>
        <w:pStyle w:val="Para1"/>
      </w:pPr>
      <w:r>
        <w:t>W</w:t>
      </w:r>
      <w:r w:rsidR="009162A7">
        <w:t>hile c</w:t>
      </w:r>
      <w:r w:rsidR="005B4055">
        <w:t xml:space="preserve">onditions </w:t>
      </w:r>
      <w:r w:rsidR="009F35CA">
        <w:t xml:space="preserve">9 and 11 give effect to </w:t>
      </w:r>
      <w:r w:rsidR="00081587">
        <w:t>the</w:t>
      </w:r>
      <w:r w:rsidR="009F35CA">
        <w:t xml:space="preserve"> policy </w:t>
      </w:r>
      <w:r w:rsidR="00EC7B63">
        <w:t>for stormwater to be managed by on</w:t>
      </w:r>
      <w:r w:rsidR="009F1920">
        <w:t>-site detention</w:t>
      </w:r>
      <w:r w:rsidR="009162A7">
        <w:t>, they duplicate each other.</w:t>
      </w:r>
      <w:r w:rsidR="0096692F">
        <w:t xml:space="preserve">  It is not necessary </w:t>
      </w:r>
      <w:r w:rsidR="0096692F" w:rsidRPr="009C4128">
        <w:t>for both of these conditions to be included on the permit.</w:t>
      </w:r>
    </w:p>
    <w:p w14:paraId="3349733F" w14:textId="76DDC668" w:rsidR="00756D2D" w:rsidRDefault="009C4128" w:rsidP="006E109D">
      <w:pPr>
        <w:pStyle w:val="Para1"/>
      </w:pPr>
      <w:r>
        <w:t>In relation to the notation to condition 11</w:t>
      </w:r>
      <w:r w:rsidR="004D0BBA">
        <w:t xml:space="preserve"> regarding a drainage contribution, </w:t>
      </w:r>
      <w:r w:rsidR="00952223" w:rsidRPr="009C4128">
        <w:t xml:space="preserve">I </w:t>
      </w:r>
      <w:r w:rsidR="00A07752" w:rsidRPr="009C4128">
        <w:t>acknowledge</w:t>
      </w:r>
      <w:r w:rsidR="00952223" w:rsidRPr="009C4128">
        <w:t xml:space="preserve"> Mr Ng’s </w:t>
      </w:r>
      <w:r w:rsidR="00A07752" w:rsidRPr="009C4128">
        <w:t xml:space="preserve">submission that </w:t>
      </w:r>
      <w:r w:rsidR="002D0A5E" w:rsidRPr="009C4128">
        <w:t xml:space="preserve">the Council cannot exact a financial contribution unless it has an approved development contributions plan in place pursuant to section 46N of the </w:t>
      </w:r>
      <w:r w:rsidR="002D0A5E" w:rsidRPr="00AE441A">
        <w:rPr>
          <w:i/>
          <w:iCs/>
        </w:rPr>
        <w:t>Planning an</w:t>
      </w:r>
      <w:r w:rsidR="00AF20EC">
        <w:rPr>
          <w:i/>
          <w:iCs/>
        </w:rPr>
        <w:t>d</w:t>
      </w:r>
      <w:r w:rsidR="002D0A5E" w:rsidRPr="00AE441A">
        <w:rPr>
          <w:i/>
          <w:iCs/>
        </w:rPr>
        <w:t xml:space="preserve"> Environment Act 1987</w:t>
      </w:r>
      <w:r w:rsidR="007D2B5B" w:rsidRPr="009C4128">
        <w:t xml:space="preserve">.  </w:t>
      </w:r>
      <w:r w:rsidR="002D65FB" w:rsidRPr="009C4128">
        <w:t xml:space="preserve">However, the </w:t>
      </w:r>
      <w:r w:rsidR="00B54463" w:rsidRPr="009C4128">
        <w:t xml:space="preserve">local stormwater policy at clause 22.04 </w:t>
      </w:r>
      <w:r w:rsidR="00CF0E8C" w:rsidRPr="009C4128">
        <w:t>provid</w:t>
      </w:r>
      <w:r w:rsidR="00A00193" w:rsidRPr="009C4128">
        <w:t>es</w:t>
      </w:r>
      <w:r w:rsidR="00B54463" w:rsidRPr="009C4128">
        <w:t xml:space="preserve"> scop</w:t>
      </w:r>
      <w:r w:rsidR="006609A4" w:rsidRPr="009C4128">
        <w:t>e</w:t>
      </w:r>
      <w:r w:rsidR="00B54463" w:rsidRPr="009C4128">
        <w:t xml:space="preserve"> for </w:t>
      </w:r>
      <w:r w:rsidR="00CF0E8C" w:rsidRPr="009C4128">
        <w:t xml:space="preserve">a financial </w:t>
      </w:r>
      <w:r w:rsidR="00B54463" w:rsidRPr="009C4128">
        <w:t>lev</w:t>
      </w:r>
      <w:r w:rsidR="00CF0E8C" w:rsidRPr="009C4128">
        <w:t>y</w:t>
      </w:r>
      <w:r w:rsidR="00B54463" w:rsidRPr="009C4128">
        <w:t xml:space="preserve"> to be </w:t>
      </w:r>
      <w:r w:rsidR="008A2B41" w:rsidRPr="009C4128">
        <w:t>considered</w:t>
      </w:r>
      <w:r w:rsidR="003D27FA" w:rsidRPr="009C4128">
        <w:t xml:space="preserve"> in circumstances where on-site stormwater retention is not provided</w:t>
      </w:r>
      <w:r w:rsidR="008A2B41" w:rsidRPr="009C4128">
        <w:t>, and the rate of any financial levy is prescribed in the policy</w:t>
      </w:r>
      <w:r w:rsidR="003D27FA" w:rsidRPr="009C4128">
        <w:t>.</w:t>
      </w:r>
      <w:r w:rsidR="002C6FF8">
        <w:t xml:space="preserve">  Based on the policy, a levy </w:t>
      </w:r>
      <w:r w:rsidR="00ED77BD">
        <w:t xml:space="preserve">is not a mandatory requirement, it </w:t>
      </w:r>
      <w:r w:rsidR="002C6FF8">
        <w:t xml:space="preserve">may only be payable if </w:t>
      </w:r>
      <w:r w:rsidR="00814DC0">
        <w:t>on-site retention is not provided.</w:t>
      </w:r>
      <w:r w:rsidR="002F7072">
        <w:t xml:space="preserve">  </w:t>
      </w:r>
      <w:r w:rsidR="00264FD6">
        <w:t xml:space="preserve">In the circumstances, </w:t>
      </w:r>
      <w:r w:rsidR="002F7072">
        <w:t xml:space="preserve">I am not satisfied that it is necessary or appropriate to </w:t>
      </w:r>
      <w:r w:rsidR="00F145F0">
        <w:t>specify the payment of a levy as part of a planning permit condition, even as a notation.</w:t>
      </w:r>
    </w:p>
    <w:p w14:paraId="3EB7630A" w14:textId="778A2ED8" w:rsidR="00623950" w:rsidRDefault="00623950" w:rsidP="006E109D">
      <w:pPr>
        <w:pStyle w:val="Para1"/>
      </w:pPr>
      <w:r>
        <w:t>For these reasons I will amend the permit to delete conditions 8 to 11 and replace them with a condition that requires</w:t>
      </w:r>
      <w:r w:rsidR="00FE0F57">
        <w:t xml:space="preserve"> the following</w:t>
      </w:r>
      <w:r w:rsidR="00B34353">
        <w:t>:</w:t>
      </w:r>
    </w:p>
    <w:p w14:paraId="387F2F6E" w14:textId="41CBC722" w:rsidR="004A3D97" w:rsidRDefault="004A3D97" w:rsidP="00B134B6">
      <w:pPr>
        <w:pStyle w:val="Quote1"/>
      </w:pPr>
      <w:r>
        <w:t>All stormwater generated from water falling on the impervious surfaces of the site must be collected and discharged, via an on-site stormwater retention system, into the point of discharge nominated by the responsible authority, and the rate of discharge must be limited to the design discharge for the site prior to development or redevelopment; or otherwise</w:t>
      </w:r>
      <w:r w:rsidR="00B3716D">
        <w:t>,</w:t>
      </w:r>
    </w:p>
    <w:p w14:paraId="1FD09512" w14:textId="3018BF55" w:rsidR="009E6F16" w:rsidRDefault="00B3716D" w:rsidP="00B134B6">
      <w:pPr>
        <w:pStyle w:val="Quote1"/>
      </w:pPr>
      <w:r>
        <w:t>a</w:t>
      </w:r>
      <w:r w:rsidR="004A3D97">
        <w:t>ll stormwater generated from water falling on the impervious surfaces of the site to be managed and drained to the satisfaction of the responsible authority</w:t>
      </w:r>
      <w:r w:rsidR="009E6F16">
        <w:t>.</w:t>
      </w:r>
    </w:p>
    <w:p w14:paraId="0CE78E95" w14:textId="7085CA6B" w:rsidR="00E200CF" w:rsidRDefault="0040062C" w:rsidP="00E200CF">
      <w:pPr>
        <w:pStyle w:val="Heading2"/>
      </w:pPr>
      <w:r>
        <w:rPr>
          <w:noProof/>
        </w:rPr>
        <w:lastRenderedPageBreak/>
        <w:drawing>
          <wp:anchor distT="0" distB="0" distL="114300" distR="114300" simplePos="0" relativeHeight="251669504" behindDoc="1" locked="0" layoutInCell="1" allowOverlap="1" wp14:anchorId="57B358F1" wp14:editId="609B11FB">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Are there any other issues?</w:t>
      </w:r>
    </w:p>
    <w:p w14:paraId="2A55B1FD" w14:textId="773DE9B4" w:rsidR="00E200CF" w:rsidRPr="00B2554C" w:rsidRDefault="00A0321B" w:rsidP="00E200CF">
      <w:pPr>
        <w:pStyle w:val="Para1"/>
      </w:pPr>
      <w:r w:rsidRPr="00B2554C">
        <w:t xml:space="preserve">At the hearing the applicant raised the contention that condition 16 of the permit duplicates the requirement of condition 1(f).  These conditions require, in summary, corner </w:t>
      </w:r>
      <w:r w:rsidR="00F03FE4" w:rsidRPr="00B2554C">
        <w:t>splays</w:t>
      </w:r>
      <w:r w:rsidRPr="00B2554C">
        <w:t xml:space="preserve"> to be provided on both sides of the vehicle crossing.  This condition was not the subject of the application for review and the submissions of the parties did not address these conditions.  As such, I have not addressed these </w:t>
      </w:r>
      <w:r w:rsidR="00A90F91" w:rsidRPr="00B2554C">
        <w:t>conditions in this decision.</w:t>
      </w:r>
    </w:p>
    <w:p w14:paraId="38D09EC8" w14:textId="77777777" w:rsidR="00E200CF" w:rsidRDefault="00E200CF" w:rsidP="00E200CF">
      <w:pPr>
        <w:pStyle w:val="Heading2"/>
      </w:pPr>
      <w:r>
        <w:t>Conclusion</w:t>
      </w:r>
    </w:p>
    <w:p w14:paraId="36682B9C" w14:textId="5BBAFD80" w:rsidR="00E200CF" w:rsidRDefault="00E200CF" w:rsidP="00E200CF">
      <w:pPr>
        <w:pStyle w:val="Para1"/>
      </w:pPr>
      <w:r>
        <w:t xml:space="preserve">For the reasons given above, the decision of the </w:t>
      </w:r>
      <w:r w:rsidR="002563BE">
        <w:t xml:space="preserve">responsible authority </w:t>
      </w:r>
      <w:r>
        <w:t xml:space="preserve">is </w:t>
      </w:r>
      <w:r w:rsidRPr="006C106A">
        <w:t>varied</w:t>
      </w:r>
      <w:r w:rsidR="00463AF4">
        <w:t xml:space="preserve"> to amend condition 1(a), delete conditions 8 – 11 (inclusive)</w:t>
      </w:r>
      <w:r w:rsidR="006C106A">
        <w:t>, and include a new condition regarding stormwater drainage.</w:t>
      </w:r>
    </w:p>
    <w:p w14:paraId="555DC80D" w14:textId="77777777" w:rsidR="00E200CF" w:rsidRDefault="00E200CF" w:rsidP="00E200CF"/>
    <w:p w14:paraId="09D08666" w14:textId="77777777" w:rsidR="00E200CF" w:rsidRDefault="00E200CF" w:rsidP="00E200CF"/>
    <w:p w14:paraId="1FC0AB35" w14:textId="77777777" w:rsidR="00E200CF" w:rsidRDefault="00E200CF" w:rsidP="00E200CF"/>
    <w:p w14:paraId="3D74D3EA" w14:textId="77777777" w:rsidR="00E200CF" w:rsidRDefault="00E200CF" w:rsidP="00E200CF"/>
    <w:tbl>
      <w:tblPr>
        <w:tblW w:w="4999" w:type="pct"/>
        <w:tblLook w:val="0000" w:firstRow="0" w:lastRow="0" w:firstColumn="0" w:lastColumn="0" w:noHBand="0" w:noVBand="0"/>
      </w:tblPr>
      <w:tblGrid>
        <w:gridCol w:w="3423"/>
        <w:gridCol w:w="1660"/>
        <w:gridCol w:w="3420"/>
      </w:tblGrid>
      <w:tr w:rsidR="00CC60A6" w14:paraId="3BFE0F12" w14:textId="77777777" w:rsidTr="00CC60A6">
        <w:tc>
          <w:tcPr>
            <w:tcW w:w="2013" w:type="pct"/>
          </w:tcPr>
          <w:p w14:paraId="45F292AC" w14:textId="76D4AA5C" w:rsidR="00CC60A6" w:rsidRDefault="008D4710" w:rsidP="00CC60A6">
            <w:pPr>
              <w:tabs>
                <w:tab w:val="left" w:pos="1515"/>
              </w:tabs>
              <w:spacing w:before="80" w:after="100"/>
              <w:rPr>
                <w:rFonts w:ascii="Times New Roman Bold" w:hAnsi="Times New Roman Bold"/>
                <w:b/>
              </w:rPr>
            </w:pPr>
            <w:r w:rsidRPr="006E774E">
              <w:rPr>
                <w:rFonts w:ascii="Times New Roman Bold" w:hAnsi="Times New Roman Bold"/>
                <w:b/>
              </w:rPr>
              <w:t>S McDonald</w:t>
            </w:r>
            <w:r>
              <w:rPr>
                <w:rFonts w:ascii="Times New Roman Bold" w:hAnsi="Times New Roman Bold"/>
                <w:b/>
              </w:rPr>
              <w:br/>
            </w:r>
            <w:r w:rsidRPr="006E774E">
              <w:rPr>
                <w:rFonts w:ascii="Times New Roman Bold" w:hAnsi="Times New Roman Bold"/>
                <w:b/>
              </w:rPr>
              <w:t>Member</w:t>
            </w:r>
          </w:p>
        </w:tc>
        <w:tc>
          <w:tcPr>
            <w:tcW w:w="976" w:type="pct"/>
          </w:tcPr>
          <w:p w14:paraId="05F1A216" w14:textId="77777777" w:rsidR="00CC60A6" w:rsidRDefault="00CC60A6" w:rsidP="00CC60A6"/>
        </w:tc>
        <w:tc>
          <w:tcPr>
            <w:tcW w:w="2011" w:type="pct"/>
          </w:tcPr>
          <w:p w14:paraId="21E3D20D" w14:textId="77777777" w:rsidR="00CC60A6" w:rsidRDefault="00CC60A6" w:rsidP="00CC60A6"/>
        </w:tc>
      </w:tr>
    </w:tbl>
    <w:p w14:paraId="18EB36DF" w14:textId="236DDA70" w:rsidR="00E200CF" w:rsidRDefault="00E200CF" w:rsidP="00E200CF"/>
    <w:sectPr w:rsidR="00E200CF">
      <w:footerReference w:type="default" r:id="rId11"/>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41905" w14:textId="77777777" w:rsidR="00CE00AA" w:rsidRDefault="00CE00AA">
      <w:r>
        <w:separator/>
      </w:r>
    </w:p>
  </w:endnote>
  <w:endnote w:type="continuationSeparator" w:id="0">
    <w:p w14:paraId="7D4A6545" w14:textId="77777777" w:rsidR="00CE00AA" w:rsidRDefault="00CE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6E109D" w14:paraId="2E7FF93D" w14:textId="77777777">
      <w:trPr>
        <w:cantSplit/>
      </w:trPr>
      <w:tc>
        <w:tcPr>
          <w:tcW w:w="3884" w:type="pct"/>
        </w:tcPr>
        <w:p w14:paraId="5B7A88B6" w14:textId="32A05A27" w:rsidR="006E109D" w:rsidRDefault="006E109D">
          <w:pPr>
            <w:pStyle w:val="Footer"/>
            <w:spacing w:beforeLines="60" w:before="144"/>
            <w:rPr>
              <w:rFonts w:cs="Arial"/>
              <w:sz w:val="18"/>
              <w:szCs w:val="18"/>
            </w:rPr>
          </w:pPr>
          <w:bookmarkStart w:id="22" w:name="FooterDescription"/>
          <w:bookmarkStart w:id="23" w:name="FooterFileNo1"/>
          <w:bookmarkEnd w:id="22"/>
          <w:bookmarkEnd w:id="23"/>
          <w:r>
            <w:rPr>
              <w:rFonts w:cs="Arial"/>
              <w:sz w:val="18"/>
              <w:szCs w:val="18"/>
            </w:rPr>
            <w:t>VCAT Reference No. P2153/2019</w:t>
          </w:r>
        </w:p>
      </w:tc>
      <w:tc>
        <w:tcPr>
          <w:tcW w:w="1116" w:type="pct"/>
        </w:tcPr>
        <w:p w14:paraId="06DB84BD" w14:textId="77777777" w:rsidR="006E109D" w:rsidRDefault="006E109D">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12</w:t>
          </w:r>
          <w:r>
            <w:rPr>
              <w:rFonts w:cs="Arial"/>
              <w:sz w:val="18"/>
              <w:szCs w:val="18"/>
            </w:rPr>
            <w:fldChar w:fldCharType="end"/>
          </w:r>
        </w:p>
      </w:tc>
    </w:tr>
  </w:tbl>
  <w:p w14:paraId="7E8963EF" w14:textId="77777777" w:rsidR="006E109D" w:rsidRDefault="006E109D">
    <w:pPr>
      <w:pStyle w:val="Footer"/>
      <w:rPr>
        <w:sz w:val="2"/>
      </w:rPr>
    </w:pPr>
  </w:p>
  <w:p w14:paraId="77CBD2AA" w14:textId="77777777" w:rsidR="006E109D" w:rsidRDefault="006E109D">
    <w:pPr>
      <w:rPr>
        <w:sz w:val="2"/>
      </w:rPr>
    </w:pPr>
  </w:p>
  <w:p w14:paraId="615DB3EC" w14:textId="77777777" w:rsidR="006E109D" w:rsidRDefault="006E109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A1737" w14:textId="77777777" w:rsidR="00CE00AA" w:rsidRDefault="00CE00AA">
      <w:pPr>
        <w:pStyle w:val="Footer"/>
        <w:pBdr>
          <w:top w:val="single" w:sz="4" w:space="1" w:color="auto"/>
        </w:pBdr>
        <w:rPr>
          <w:sz w:val="12"/>
        </w:rPr>
      </w:pPr>
    </w:p>
  </w:footnote>
  <w:footnote w:type="continuationSeparator" w:id="0">
    <w:p w14:paraId="553EBD56" w14:textId="77777777" w:rsidR="00CE00AA" w:rsidRDefault="00CE00AA">
      <w:r>
        <w:continuationSeparator/>
      </w:r>
    </w:p>
  </w:footnote>
  <w:footnote w:id="1">
    <w:p w14:paraId="60145738" w14:textId="019A4E89" w:rsidR="006E109D" w:rsidRDefault="006E109D">
      <w:pPr>
        <w:pStyle w:val="FootnoteText"/>
      </w:pPr>
      <w:r>
        <w:rPr>
          <w:rStyle w:val="FootnoteReference"/>
        </w:rPr>
        <w:footnoteRef/>
      </w:r>
      <w:r>
        <w:t xml:space="preserve"> </w:t>
      </w:r>
      <w:r>
        <w:tab/>
      </w:r>
      <w:r w:rsidRPr="007155F3">
        <w:t>The hearing was held by telephone conference, with written submissions having been filed and served in advance of the hearing.</w:t>
      </w:r>
    </w:p>
  </w:footnote>
  <w:footnote w:id="2">
    <w:p w14:paraId="5A518BC5" w14:textId="749033D3" w:rsidR="006E109D" w:rsidRDefault="006E109D" w:rsidP="00E200CF">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14:paraId="0F446423" w14:textId="77777777" w:rsidR="006E109D" w:rsidRDefault="006E109D" w:rsidP="00880493">
      <w:pPr>
        <w:pStyle w:val="FootnoteText"/>
      </w:pPr>
      <w:r>
        <w:rPr>
          <w:rStyle w:val="FootnoteReference"/>
        </w:rPr>
        <w:footnoteRef/>
      </w:r>
      <w:r>
        <w:t xml:space="preserve"> </w:t>
      </w:r>
      <w:r>
        <w:tab/>
      </w:r>
      <w:r w:rsidRPr="00EA495A">
        <w:t>Having regard to the decision guidelines at clause 65 of the planning scheme.</w:t>
      </w:r>
    </w:p>
  </w:footnote>
  <w:footnote w:id="4">
    <w:p w14:paraId="620F651B" w14:textId="44A47122" w:rsidR="006E109D" w:rsidRDefault="006E109D">
      <w:pPr>
        <w:pStyle w:val="FootnoteText"/>
      </w:pPr>
      <w:r>
        <w:rPr>
          <w:rStyle w:val="FootnoteReference"/>
        </w:rPr>
        <w:footnoteRef/>
      </w:r>
      <w:r>
        <w:t xml:space="preserve"> </w:t>
      </w:r>
      <w:r>
        <w:tab/>
        <w:t>Via email on 27 October 2020.</w:t>
      </w:r>
    </w:p>
  </w:footnote>
  <w:footnote w:id="5">
    <w:p w14:paraId="5919FCB1" w14:textId="202E6D91" w:rsidR="006E109D" w:rsidRDefault="006E109D">
      <w:pPr>
        <w:pStyle w:val="FootnoteText"/>
      </w:pPr>
      <w:r>
        <w:rPr>
          <w:rStyle w:val="FootnoteReference"/>
        </w:rPr>
        <w:footnoteRef/>
      </w:r>
      <w:r>
        <w:t xml:space="preserve"> </w:t>
      </w:r>
      <w:r>
        <w:tab/>
        <w:t>Via Interim Order of the Tribunal dated 12 November 2020.</w:t>
      </w:r>
    </w:p>
  </w:footnote>
  <w:footnote w:id="6">
    <w:p w14:paraId="6D1F6A2C" w14:textId="016C85E6" w:rsidR="006E109D" w:rsidRDefault="006E109D">
      <w:pPr>
        <w:pStyle w:val="FootnoteText"/>
      </w:pPr>
      <w:r>
        <w:rPr>
          <w:rStyle w:val="FootnoteReference"/>
        </w:rPr>
        <w:footnoteRef/>
      </w:r>
      <w:r>
        <w:t xml:space="preserve"> </w:t>
      </w:r>
      <w:r>
        <w:tab/>
        <w:t>Via email on 27 November 2020.</w:t>
      </w:r>
    </w:p>
  </w:footnote>
  <w:footnote w:id="7">
    <w:p w14:paraId="46334F45" w14:textId="5DE86A5B" w:rsidR="006E109D" w:rsidRDefault="006E109D">
      <w:pPr>
        <w:pStyle w:val="FootnoteText"/>
      </w:pPr>
      <w:r>
        <w:rPr>
          <w:rStyle w:val="FootnoteReference"/>
        </w:rPr>
        <w:footnoteRef/>
      </w:r>
      <w:r>
        <w:t xml:space="preserve"> </w:t>
      </w:r>
      <w:r>
        <w:tab/>
        <w:t>For example, Mr Ng cites “GSA Architects v City of Boroondara, Appeal</w:t>
      </w:r>
      <w:r w:rsidRPr="00317EB6">
        <w:t xml:space="preserve"> No. 2000/090202</w:t>
      </w:r>
      <w:r>
        <w:t>”,</w:t>
      </w:r>
      <w:r w:rsidRPr="00E91603">
        <w:t xml:space="preserve"> </w:t>
      </w:r>
      <w:r>
        <w:t>(</w:t>
      </w:r>
      <w:r w:rsidRPr="00EB582C">
        <w:rPr>
          <w:i/>
          <w:iCs/>
        </w:rPr>
        <w:t xml:space="preserve">GSA Architects v Boroondara CC &amp; </w:t>
      </w:r>
      <w:r w:rsidRPr="00AC5103">
        <w:rPr>
          <w:i/>
          <w:iCs/>
        </w:rPr>
        <w:t>Ors [2001]</w:t>
      </w:r>
      <w:r w:rsidRPr="00E91603">
        <w:t xml:space="preserve"> VCAT 766 (31 May 2001)</w:t>
      </w:r>
      <w:r>
        <w:t>), and “Vardaxis v City of Darebin, Appeal No. P1693/2004” (</w:t>
      </w:r>
      <w:r w:rsidRPr="00EB582C">
        <w:rPr>
          <w:i/>
          <w:iCs/>
        </w:rPr>
        <w:t xml:space="preserve">Vardaxis v Darebin </w:t>
      </w:r>
      <w:r w:rsidRPr="00AC5103">
        <w:rPr>
          <w:i/>
          <w:iCs/>
        </w:rPr>
        <w:t>CC [2004]</w:t>
      </w:r>
      <w:r w:rsidRPr="00B54823">
        <w:t xml:space="preserve"> VCAT 1742 (2 September 2004)</w:t>
      </w:r>
      <w:r>
        <w:t>).</w:t>
      </w:r>
    </w:p>
  </w:footnote>
  <w:footnote w:id="8">
    <w:p w14:paraId="4EEF3C76" w14:textId="1425DA64" w:rsidR="006E109D" w:rsidRDefault="006E109D">
      <w:pPr>
        <w:pStyle w:val="FootnoteText"/>
      </w:pPr>
      <w:r>
        <w:rPr>
          <w:rStyle w:val="FootnoteReference"/>
        </w:rPr>
        <w:footnoteRef/>
      </w:r>
      <w:r>
        <w:t xml:space="preserve"> </w:t>
      </w:r>
      <w:r>
        <w:tab/>
        <w:t>For example, Mr Ng cites “Rae &amp; Ruche v City of Darebin, Appeal No. 2000/000887”, (</w:t>
      </w:r>
      <w:r w:rsidRPr="00AC5103">
        <w:rPr>
          <w:i/>
          <w:iCs/>
        </w:rPr>
        <w:t>Rae D &amp; Ruche v Darebin CC [2000]</w:t>
      </w:r>
      <w:r w:rsidRPr="00D07B6E">
        <w:t xml:space="preserve"> VCAT 1036 (30 April 2000)</w:t>
      </w:r>
      <w:r>
        <w:t>).</w:t>
      </w:r>
    </w:p>
  </w:footnote>
  <w:footnote w:id="9">
    <w:p w14:paraId="6327A2A4" w14:textId="10B3E0B3" w:rsidR="006E109D" w:rsidRDefault="006E109D">
      <w:pPr>
        <w:pStyle w:val="FootnoteText"/>
      </w:pPr>
      <w:r>
        <w:rPr>
          <w:rStyle w:val="FootnoteReference"/>
        </w:rPr>
        <w:footnoteRef/>
      </w:r>
      <w:r>
        <w:t xml:space="preserve"> </w:t>
      </w:r>
      <w:r>
        <w:tab/>
        <w:t>Via Amendment VC12, in operation from 24 August 2001.</w:t>
      </w:r>
    </w:p>
  </w:footnote>
  <w:footnote w:id="10">
    <w:p w14:paraId="56EF144B" w14:textId="472790C6" w:rsidR="006E109D" w:rsidRDefault="006E109D">
      <w:pPr>
        <w:pStyle w:val="FootnoteText"/>
      </w:pPr>
      <w:r>
        <w:rPr>
          <w:rStyle w:val="FootnoteReference"/>
        </w:rPr>
        <w:footnoteRef/>
      </w:r>
      <w:r>
        <w:t xml:space="preserve"> </w:t>
      </w:r>
      <w:r>
        <w:tab/>
        <w:t xml:space="preserve">For example, 4, 8 and 9 Ralton Avenue, and dwellings in Evelyn Street, Tobias Avenue, The Outlook, Glen Road, Olinda Street, </w:t>
      </w:r>
      <w:r w:rsidR="00D920DA">
        <w:t xml:space="preserve">and </w:t>
      </w:r>
      <w:r>
        <w:t>Panoramic Grove.</w:t>
      </w:r>
    </w:p>
  </w:footnote>
  <w:footnote w:id="11">
    <w:p w14:paraId="57E5956D" w14:textId="57111CBA" w:rsidR="006E109D" w:rsidRDefault="006E109D">
      <w:pPr>
        <w:pStyle w:val="FootnoteText"/>
      </w:pPr>
      <w:r>
        <w:rPr>
          <w:rStyle w:val="FootnoteReference"/>
        </w:rPr>
        <w:footnoteRef/>
      </w:r>
      <w:r>
        <w:t xml:space="preserve"> </w:t>
      </w:r>
      <w:r>
        <w:tab/>
        <w:t>For example, 29, 36 and 38 Ralton Avenue.</w:t>
      </w:r>
    </w:p>
  </w:footnote>
  <w:footnote w:id="12">
    <w:p w14:paraId="0F9E5AED" w14:textId="106A8DAD" w:rsidR="006E109D" w:rsidRDefault="006E109D">
      <w:pPr>
        <w:pStyle w:val="FootnoteText"/>
      </w:pPr>
      <w:r>
        <w:rPr>
          <w:rStyle w:val="FootnoteReference"/>
        </w:rPr>
        <w:footnoteRef/>
      </w:r>
      <w:r>
        <w:t xml:space="preserve"> </w:t>
      </w:r>
      <w:r>
        <w:tab/>
        <w:t>Revision A plans dated 25/02/2019.</w:t>
      </w:r>
    </w:p>
  </w:footnote>
  <w:footnote w:id="13">
    <w:p w14:paraId="74B735EA" w14:textId="37893972" w:rsidR="006E109D" w:rsidRDefault="006E109D">
      <w:pPr>
        <w:pStyle w:val="FootnoteText"/>
      </w:pPr>
      <w:r>
        <w:rPr>
          <w:rStyle w:val="FootnoteReference"/>
        </w:rPr>
        <w:footnoteRef/>
      </w:r>
      <w:r>
        <w:t xml:space="preserve"> </w:t>
      </w:r>
      <w:r>
        <w:tab/>
        <w:t>Revision B plans dated 31/05/2019.</w:t>
      </w:r>
    </w:p>
  </w:footnote>
  <w:footnote w:id="14">
    <w:p w14:paraId="4BF008DD" w14:textId="70547C30" w:rsidR="008B2AFD" w:rsidRDefault="008B2AFD" w:rsidP="008B2AFD">
      <w:pPr>
        <w:pStyle w:val="FootnoteText"/>
      </w:pPr>
      <w:r>
        <w:rPr>
          <w:rStyle w:val="FootnoteReference"/>
        </w:rPr>
        <w:footnoteRef/>
      </w:r>
      <w:r>
        <w:t xml:space="preserve"> </w:t>
      </w:r>
      <w:r>
        <w:tab/>
        <w:t xml:space="preserve">The columns, moulding and balustrade details are on the east and </w:t>
      </w:r>
      <w:r w:rsidR="008177EC">
        <w:t>south</w:t>
      </w:r>
      <w:r>
        <w:t xml:space="preserve"> elevations of both buildings (dwellings 1 and 2).</w:t>
      </w:r>
    </w:p>
  </w:footnote>
  <w:footnote w:id="15">
    <w:p w14:paraId="770E1B54" w14:textId="77777777" w:rsidR="006E109D" w:rsidRDefault="006E109D" w:rsidP="005C23C1">
      <w:pPr>
        <w:pStyle w:val="FootnoteText"/>
      </w:pPr>
      <w:r>
        <w:rPr>
          <w:rStyle w:val="FootnoteReference"/>
        </w:rPr>
        <w:footnoteRef/>
      </w:r>
      <w:r>
        <w:t xml:space="preserve"> </w:t>
      </w:r>
      <w:r>
        <w:tab/>
        <w:t>For example, the double-storey dwelling at 8 Ralton Avenue, and the double-storey multi-dwelling developments at 4 and 9 Ralton Avenue.</w:t>
      </w:r>
    </w:p>
  </w:footnote>
  <w:footnote w:id="16">
    <w:p w14:paraId="733B61BE" w14:textId="77777777" w:rsidR="006E109D" w:rsidRDefault="006E109D" w:rsidP="005C23C1">
      <w:pPr>
        <w:pStyle w:val="FootnoteText"/>
      </w:pPr>
      <w:r>
        <w:rPr>
          <w:rStyle w:val="FootnoteReference"/>
        </w:rPr>
        <w:footnoteRef/>
      </w:r>
      <w:r>
        <w:t xml:space="preserve"> </w:t>
      </w:r>
      <w:r>
        <w:tab/>
      </w:r>
      <w:r w:rsidRPr="00FD70A5">
        <w:t xml:space="preserve">I note that many of these are single dwellings, </w:t>
      </w:r>
      <w:r>
        <w:t>which</w:t>
      </w:r>
      <w:r w:rsidRPr="00FD70A5">
        <w:t xml:space="preserve"> would not typically require a planning permit.</w:t>
      </w:r>
    </w:p>
  </w:footnote>
  <w:footnote w:id="17">
    <w:p w14:paraId="7CA90709" w14:textId="62087D6B" w:rsidR="006E109D" w:rsidRDefault="006E109D">
      <w:pPr>
        <w:pStyle w:val="FootnoteText"/>
      </w:pPr>
      <w:r>
        <w:rPr>
          <w:rStyle w:val="FootnoteReference"/>
        </w:rPr>
        <w:footnoteRef/>
      </w:r>
      <w:r>
        <w:t xml:space="preserve"> </w:t>
      </w:r>
      <w:r>
        <w:tab/>
        <w:t>Amendment C125</w:t>
      </w:r>
      <w:r w:rsidR="00610328">
        <w:t xml:space="preserve"> to the </w:t>
      </w:r>
      <w:r w:rsidR="00BD0106">
        <w:t>p</w:t>
      </w:r>
      <w:r w:rsidR="00610328">
        <w:t xml:space="preserve">lanning </w:t>
      </w:r>
      <w:r w:rsidR="00BD0106">
        <w:t>s</w:t>
      </w:r>
      <w:r w:rsidR="00610328">
        <w:t>cheme</w:t>
      </w:r>
      <w:r>
        <w:t>.</w:t>
      </w:r>
    </w:p>
  </w:footnote>
  <w:footnote w:id="18">
    <w:p w14:paraId="37801E5D" w14:textId="17AEB36A" w:rsidR="00EC3CD4" w:rsidRDefault="00EC3CD4">
      <w:pPr>
        <w:pStyle w:val="FootnoteText"/>
      </w:pPr>
      <w:r>
        <w:rPr>
          <w:rStyle w:val="FootnoteReference"/>
        </w:rPr>
        <w:footnoteRef/>
      </w:r>
      <w:r>
        <w:t xml:space="preserve"> </w:t>
      </w:r>
      <w:r>
        <w:tab/>
        <w:t>For example, the nearby dwellings at 36 Ralton Avenue.</w:t>
      </w:r>
    </w:p>
  </w:footnote>
  <w:footnote w:id="19">
    <w:p w14:paraId="2DE87AC6" w14:textId="0A907F44" w:rsidR="006E109D" w:rsidRDefault="006E109D">
      <w:pPr>
        <w:pStyle w:val="FootnoteText"/>
      </w:pPr>
      <w:r>
        <w:rPr>
          <w:rStyle w:val="FootnoteReference"/>
        </w:rPr>
        <w:footnoteRef/>
      </w:r>
      <w:r>
        <w:t xml:space="preserve"> </w:t>
      </w:r>
      <w:r>
        <w:tab/>
        <w:t>Clause 22.04-3 (Policy).</w:t>
      </w:r>
    </w:p>
  </w:footnote>
  <w:footnote w:id="20">
    <w:p w14:paraId="0B95A12D" w14:textId="1FC5014E" w:rsidR="006E109D" w:rsidRDefault="006E109D">
      <w:pPr>
        <w:pStyle w:val="FootnoteText"/>
      </w:pPr>
      <w:r>
        <w:rPr>
          <w:rStyle w:val="FootnoteReference"/>
        </w:rPr>
        <w:footnoteRef/>
      </w:r>
      <w:r>
        <w:t xml:space="preserve"> </w:t>
      </w:r>
      <w:r>
        <w:tab/>
        <w:t xml:space="preserve">Specified as </w:t>
      </w:r>
      <w:r w:rsidRPr="00971429">
        <w:t>$/m2 of impervious area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2268"/>
        </w:tabs>
        <w:ind w:left="2268" w:hanging="567"/>
      </w:pPr>
      <w:rPr>
        <w:rFonts w:ascii="Symbol" w:eastAsia="Times New Roman" w:hAnsi="Symbol" w:cs="Times New Roman" w:hint="default"/>
        <w:sz w:val="16"/>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86217DB"/>
    <w:multiLevelType w:val="hybridMultilevel"/>
    <w:tmpl w:val="C5C222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1"/>
  </w:num>
  <w:num w:numId="21">
    <w:abstractNumId w:val="8"/>
  </w:num>
  <w:num w:numId="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OrF/tlw5lG7MYjGSZ+UJ5ZjA7DI3ChjifbbfTBkNucvwZB0UZw/B1vhg0eQx73QerOdh1q9xXaJTAou9eeE3KA==" w:salt="EkfkgWVAlMRYGwCFwXyUhA=="/>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5D190F"/>
    <w:rsid w:val="000003F2"/>
    <w:rsid w:val="000004C3"/>
    <w:rsid w:val="00002CDB"/>
    <w:rsid w:val="000069D0"/>
    <w:rsid w:val="0001113F"/>
    <w:rsid w:val="000120B8"/>
    <w:rsid w:val="00014736"/>
    <w:rsid w:val="00027F01"/>
    <w:rsid w:val="00031054"/>
    <w:rsid w:val="0003536C"/>
    <w:rsid w:val="00036997"/>
    <w:rsid w:val="000414E6"/>
    <w:rsid w:val="00044645"/>
    <w:rsid w:val="00045F34"/>
    <w:rsid w:val="00047160"/>
    <w:rsid w:val="00054C11"/>
    <w:rsid w:val="00057004"/>
    <w:rsid w:val="0005712A"/>
    <w:rsid w:val="00061FEB"/>
    <w:rsid w:val="00062780"/>
    <w:rsid w:val="00063C31"/>
    <w:rsid w:val="0007658E"/>
    <w:rsid w:val="000766E0"/>
    <w:rsid w:val="00077535"/>
    <w:rsid w:val="00077900"/>
    <w:rsid w:val="00080689"/>
    <w:rsid w:val="00081587"/>
    <w:rsid w:val="00084F93"/>
    <w:rsid w:val="000854CC"/>
    <w:rsid w:val="00091DFF"/>
    <w:rsid w:val="000945F9"/>
    <w:rsid w:val="00094A20"/>
    <w:rsid w:val="000A1AB4"/>
    <w:rsid w:val="000B00A2"/>
    <w:rsid w:val="000B29BC"/>
    <w:rsid w:val="000B4A31"/>
    <w:rsid w:val="000B6364"/>
    <w:rsid w:val="000C4563"/>
    <w:rsid w:val="000C5392"/>
    <w:rsid w:val="000C7129"/>
    <w:rsid w:val="000C7626"/>
    <w:rsid w:val="000D47DB"/>
    <w:rsid w:val="000E14A9"/>
    <w:rsid w:val="000E19D6"/>
    <w:rsid w:val="000E49A1"/>
    <w:rsid w:val="000E57CF"/>
    <w:rsid w:val="000E7B08"/>
    <w:rsid w:val="000F4E28"/>
    <w:rsid w:val="000F51E5"/>
    <w:rsid w:val="00103FB8"/>
    <w:rsid w:val="00106FC6"/>
    <w:rsid w:val="001079F6"/>
    <w:rsid w:val="001111DD"/>
    <w:rsid w:val="0012299E"/>
    <w:rsid w:val="00124C1E"/>
    <w:rsid w:val="00135C8D"/>
    <w:rsid w:val="00152541"/>
    <w:rsid w:val="00155C84"/>
    <w:rsid w:val="00155D66"/>
    <w:rsid w:val="001567AE"/>
    <w:rsid w:val="0016093F"/>
    <w:rsid w:val="00162338"/>
    <w:rsid w:val="00163377"/>
    <w:rsid w:val="001636D9"/>
    <w:rsid w:val="00165A20"/>
    <w:rsid w:val="00167876"/>
    <w:rsid w:val="001708C4"/>
    <w:rsid w:val="001808B3"/>
    <w:rsid w:val="0018330C"/>
    <w:rsid w:val="001906AE"/>
    <w:rsid w:val="00190892"/>
    <w:rsid w:val="0019665D"/>
    <w:rsid w:val="00196AFA"/>
    <w:rsid w:val="001A0126"/>
    <w:rsid w:val="001A1817"/>
    <w:rsid w:val="001B4D73"/>
    <w:rsid w:val="001C00F5"/>
    <w:rsid w:val="001C5F3A"/>
    <w:rsid w:val="001D15CC"/>
    <w:rsid w:val="001D4823"/>
    <w:rsid w:val="001D63A4"/>
    <w:rsid w:val="001E21B7"/>
    <w:rsid w:val="001E49C7"/>
    <w:rsid w:val="001E65AF"/>
    <w:rsid w:val="001E769B"/>
    <w:rsid w:val="001F2D3D"/>
    <w:rsid w:val="001F2E49"/>
    <w:rsid w:val="001F7A27"/>
    <w:rsid w:val="001F7F29"/>
    <w:rsid w:val="0020424F"/>
    <w:rsid w:val="00211C43"/>
    <w:rsid w:val="002142FE"/>
    <w:rsid w:val="002165B3"/>
    <w:rsid w:val="002169B2"/>
    <w:rsid w:val="00217EC8"/>
    <w:rsid w:val="00220762"/>
    <w:rsid w:val="002278AE"/>
    <w:rsid w:val="0023361E"/>
    <w:rsid w:val="0023472F"/>
    <w:rsid w:val="00242962"/>
    <w:rsid w:val="00242EB7"/>
    <w:rsid w:val="00250B34"/>
    <w:rsid w:val="0025201C"/>
    <w:rsid w:val="0025625E"/>
    <w:rsid w:val="002563BE"/>
    <w:rsid w:val="0025730C"/>
    <w:rsid w:val="00261648"/>
    <w:rsid w:val="00263929"/>
    <w:rsid w:val="00264259"/>
    <w:rsid w:val="00264FD6"/>
    <w:rsid w:val="002663EC"/>
    <w:rsid w:val="00267D22"/>
    <w:rsid w:val="00271C84"/>
    <w:rsid w:val="0027204F"/>
    <w:rsid w:val="00273D94"/>
    <w:rsid w:val="00275B01"/>
    <w:rsid w:val="00276B5A"/>
    <w:rsid w:val="00280FB8"/>
    <w:rsid w:val="0028144B"/>
    <w:rsid w:val="0028244B"/>
    <w:rsid w:val="00290F9B"/>
    <w:rsid w:val="00292DF9"/>
    <w:rsid w:val="00293A03"/>
    <w:rsid w:val="002A47E1"/>
    <w:rsid w:val="002A52E0"/>
    <w:rsid w:val="002B0A52"/>
    <w:rsid w:val="002B145A"/>
    <w:rsid w:val="002B2DAF"/>
    <w:rsid w:val="002B3A41"/>
    <w:rsid w:val="002B3BA3"/>
    <w:rsid w:val="002B6BC3"/>
    <w:rsid w:val="002B7051"/>
    <w:rsid w:val="002C03CD"/>
    <w:rsid w:val="002C1559"/>
    <w:rsid w:val="002C4F46"/>
    <w:rsid w:val="002C6FF8"/>
    <w:rsid w:val="002D05B6"/>
    <w:rsid w:val="002D0A5E"/>
    <w:rsid w:val="002D16DF"/>
    <w:rsid w:val="002D1D2F"/>
    <w:rsid w:val="002D65FB"/>
    <w:rsid w:val="002E3C8C"/>
    <w:rsid w:val="002E4DCA"/>
    <w:rsid w:val="002E5080"/>
    <w:rsid w:val="002F27B5"/>
    <w:rsid w:val="002F7072"/>
    <w:rsid w:val="00300C0D"/>
    <w:rsid w:val="003024B4"/>
    <w:rsid w:val="00303D9B"/>
    <w:rsid w:val="00303F8F"/>
    <w:rsid w:val="00304466"/>
    <w:rsid w:val="00304F10"/>
    <w:rsid w:val="00305052"/>
    <w:rsid w:val="003064A9"/>
    <w:rsid w:val="003066E0"/>
    <w:rsid w:val="0031077B"/>
    <w:rsid w:val="00312C58"/>
    <w:rsid w:val="00312D8A"/>
    <w:rsid w:val="0031301B"/>
    <w:rsid w:val="00313883"/>
    <w:rsid w:val="00313FC1"/>
    <w:rsid w:val="00314D65"/>
    <w:rsid w:val="00317EB6"/>
    <w:rsid w:val="0032012F"/>
    <w:rsid w:val="0032102D"/>
    <w:rsid w:val="00322661"/>
    <w:rsid w:val="00331F67"/>
    <w:rsid w:val="003325CD"/>
    <w:rsid w:val="003338A7"/>
    <w:rsid w:val="003351C1"/>
    <w:rsid w:val="00341B8A"/>
    <w:rsid w:val="0034213D"/>
    <w:rsid w:val="0034326F"/>
    <w:rsid w:val="003433F4"/>
    <w:rsid w:val="00347F51"/>
    <w:rsid w:val="00354017"/>
    <w:rsid w:val="00354D0D"/>
    <w:rsid w:val="003577C4"/>
    <w:rsid w:val="00361E5C"/>
    <w:rsid w:val="00361EF0"/>
    <w:rsid w:val="00370CB5"/>
    <w:rsid w:val="00370EFF"/>
    <w:rsid w:val="003726EB"/>
    <w:rsid w:val="00372C67"/>
    <w:rsid w:val="003813E9"/>
    <w:rsid w:val="00381430"/>
    <w:rsid w:val="003831A1"/>
    <w:rsid w:val="003837E4"/>
    <w:rsid w:val="00385C98"/>
    <w:rsid w:val="00387D12"/>
    <w:rsid w:val="00391120"/>
    <w:rsid w:val="0039778F"/>
    <w:rsid w:val="003A60CA"/>
    <w:rsid w:val="003A64C0"/>
    <w:rsid w:val="003B2494"/>
    <w:rsid w:val="003B5E75"/>
    <w:rsid w:val="003B752B"/>
    <w:rsid w:val="003C5755"/>
    <w:rsid w:val="003D0173"/>
    <w:rsid w:val="003D27FA"/>
    <w:rsid w:val="003D34FE"/>
    <w:rsid w:val="003D546E"/>
    <w:rsid w:val="003D7278"/>
    <w:rsid w:val="003D7414"/>
    <w:rsid w:val="003E11C8"/>
    <w:rsid w:val="003E3BC5"/>
    <w:rsid w:val="003E5DE5"/>
    <w:rsid w:val="003E5FC0"/>
    <w:rsid w:val="003F0B80"/>
    <w:rsid w:val="003F1A9A"/>
    <w:rsid w:val="003F4A02"/>
    <w:rsid w:val="0040062C"/>
    <w:rsid w:val="00404A1C"/>
    <w:rsid w:val="00414FAF"/>
    <w:rsid w:val="00424863"/>
    <w:rsid w:val="00431401"/>
    <w:rsid w:val="00432964"/>
    <w:rsid w:val="00434598"/>
    <w:rsid w:val="00434BAA"/>
    <w:rsid w:val="00436254"/>
    <w:rsid w:val="00437999"/>
    <w:rsid w:val="00437A3D"/>
    <w:rsid w:val="004400D7"/>
    <w:rsid w:val="004421E3"/>
    <w:rsid w:val="00443784"/>
    <w:rsid w:val="004443E7"/>
    <w:rsid w:val="004457E2"/>
    <w:rsid w:val="00445DA3"/>
    <w:rsid w:val="004461A9"/>
    <w:rsid w:val="0044625E"/>
    <w:rsid w:val="00451B78"/>
    <w:rsid w:val="004531A7"/>
    <w:rsid w:val="00453344"/>
    <w:rsid w:val="0045510A"/>
    <w:rsid w:val="00461990"/>
    <w:rsid w:val="00462DC1"/>
    <w:rsid w:val="00463AF4"/>
    <w:rsid w:val="00463C12"/>
    <w:rsid w:val="004660F0"/>
    <w:rsid w:val="00467B86"/>
    <w:rsid w:val="00476B3C"/>
    <w:rsid w:val="00477574"/>
    <w:rsid w:val="0048034E"/>
    <w:rsid w:val="004822DB"/>
    <w:rsid w:val="004824B1"/>
    <w:rsid w:val="00483AF2"/>
    <w:rsid w:val="004908EE"/>
    <w:rsid w:val="004919B5"/>
    <w:rsid w:val="004948BA"/>
    <w:rsid w:val="00495762"/>
    <w:rsid w:val="004959A5"/>
    <w:rsid w:val="0049651A"/>
    <w:rsid w:val="004A11D0"/>
    <w:rsid w:val="004A201D"/>
    <w:rsid w:val="004A2078"/>
    <w:rsid w:val="004A3D97"/>
    <w:rsid w:val="004B3605"/>
    <w:rsid w:val="004B440A"/>
    <w:rsid w:val="004B52AB"/>
    <w:rsid w:val="004D0391"/>
    <w:rsid w:val="004D0615"/>
    <w:rsid w:val="004D0BBA"/>
    <w:rsid w:val="004D1026"/>
    <w:rsid w:val="004D1D66"/>
    <w:rsid w:val="004D2122"/>
    <w:rsid w:val="004D2357"/>
    <w:rsid w:val="004D4D93"/>
    <w:rsid w:val="004E07B2"/>
    <w:rsid w:val="004E5722"/>
    <w:rsid w:val="004F1574"/>
    <w:rsid w:val="004F1C71"/>
    <w:rsid w:val="004F54C1"/>
    <w:rsid w:val="004F552C"/>
    <w:rsid w:val="004F7A6C"/>
    <w:rsid w:val="00505D1D"/>
    <w:rsid w:val="00507771"/>
    <w:rsid w:val="005106FB"/>
    <w:rsid w:val="00510802"/>
    <w:rsid w:val="0051611E"/>
    <w:rsid w:val="00527264"/>
    <w:rsid w:val="00531038"/>
    <w:rsid w:val="00534146"/>
    <w:rsid w:val="00534774"/>
    <w:rsid w:val="00535E29"/>
    <w:rsid w:val="00536F5D"/>
    <w:rsid w:val="00537531"/>
    <w:rsid w:val="005419A5"/>
    <w:rsid w:val="005439B3"/>
    <w:rsid w:val="00547580"/>
    <w:rsid w:val="00550040"/>
    <w:rsid w:val="005518CD"/>
    <w:rsid w:val="00552A12"/>
    <w:rsid w:val="00555296"/>
    <w:rsid w:val="0055598A"/>
    <w:rsid w:val="0055630E"/>
    <w:rsid w:val="00561F30"/>
    <w:rsid w:val="00570ECC"/>
    <w:rsid w:val="00571E09"/>
    <w:rsid w:val="00572244"/>
    <w:rsid w:val="005742A7"/>
    <w:rsid w:val="0057602C"/>
    <w:rsid w:val="0058084D"/>
    <w:rsid w:val="00583253"/>
    <w:rsid w:val="00585BBD"/>
    <w:rsid w:val="00590D63"/>
    <w:rsid w:val="0059145F"/>
    <w:rsid w:val="00594E50"/>
    <w:rsid w:val="00595E96"/>
    <w:rsid w:val="005963B9"/>
    <w:rsid w:val="005A1CD6"/>
    <w:rsid w:val="005A26B1"/>
    <w:rsid w:val="005A3030"/>
    <w:rsid w:val="005A37D5"/>
    <w:rsid w:val="005B2A98"/>
    <w:rsid w:val="005B3D5D"/>
    <w:rsid w:val="005B4055"/>
    <w:rsid w:val="005B49F2"/>
    <w:rsid w:val="005B6057"/>
    <w:rsid w:val="005C136F"/>
    <w:rsid w:val="005C23C1"/>
    <w:rsid w:val="005C4B4A"/>
    <w:rsid w:val="005C69AB"/>
    <w:rsid w:val="005D190F"/>
    <w:rsid w:val="005D3FDE"/>
    <w:rsid w:val="005D408F"/>
    <w:rsid w:val="005D5092"/>
    <w:rsid w:val="005D6C47"/>
    <w:rsid w:val="005D7399"/>
    <w:rsid w:val="005D77CE"/>
    <w:rsid w:val="005E1511"/>
    <w:rsid w:val="005E2D20"/>
    <w:rsid w:val="005E2FB5"/>
    <w:rsid w:val="005E4824"/>
    <w:rsid w:val="005F279B"/>
    <w:rsid w:val="005F3718"/>
    <w:rsid w:val="005F4129"/>
    <w:rsid w:val="005F6FDD"/>
    <w:rsid w:val="00602355"/>
    <w:rsid w:val="00602500"/>
    <w:rsid w:val="00602BB5"/>
    <w:rsid w:val="00604881"/>
    <w:rsid w:val="00605C3E"/>
    <w:rsid w:val="006070B0"/>
    <w:rsid w:val="00610328"/>
    <w:rsid w:val="00614B96"/>
    <w:rsid w:val="00617300"/>
    <w:rsid w:val="00623950"/>
    <w:rsid w:val="00625221"/>
    <w:rsid w:val="00631828"/>
    <w:rsid w:val="0063281F"/>
    <w:rsid w:val="00637D80"/>
    <w:rsid w:val="006429AF"/>
    <w:rsid w:val="00645F67"/>
    <w:rsid w:val="00647F43"/>
    <w:rsid w:val="0065338E"/>
    <w:rsid w:val="006609A4"/>
    <w:rsid w:val="00661BFF"/>
    <w:rsid w:val="006636AE"/>
    <w:rsid w:val="00666855"/>
    <w:rsid w:val="006670F3"/>
    <w:rsid w:val="006709A5"/>
    <w:rsid w:val="00676AF1"/>
    <w:rsid w:val="00680AFF"/>
    <w:rsid w:val="00682405"/>
    <w:rsid w:val="006827B1"/>
    <w:rsid w:val="00682C14"/>
    <w:rsid w:val="00684058"/>
    <w:rsid w:val="00687763"/>
    <w:rsid w:val="0069277C"/>
    <w:rsid w:val="00693EB4"/>
    <w:rsid w:val="006949D1"/>
    <w:rsid w:val="00695487"/>
    <w:rsid w:val="006971EE"/>
    <w:rsid w:val="00697776"/>
    <w:rsid w:val="006A1EC9"/>
    <w:rsid w:val="006A2D3D"/>
    <w:rsid w:val="006A31CE"/>
    <w:rsid w:val="006A6249"/>
    <w:rsid w:val="006B5C48"/>
    <w:rsid w:val="006B7C3F"/>
    <w:rsid w:val="006C106A"/>
    <w:rsid w:val="006C73EB"/>
    <w:rsid w:val="006C7549"/>
    <w:rsid w:val="006D14C4"/>
    <w:rsid w:val="006D35D8"/>
    <w:rsid w:val="006D4269"/>
    <w:rsid w:val="006D5370"/>
    <w:rsid w:val="006E09C5"/>
    <w:rsid w:val="006E109D"/>
    <w:rsid w:val="006E62C7"/>
    <w:rsid w:val="006E6B27"/>
    <w:rsid w:val="006E7451"/>
    <w:rsid w:val="006E774E"/>
    <w:rsid w:val="006E7914"/>
    <w:rsid w:val="006F02A0"/>
    <w:rsid w:val="006F1CBB"/>
    <w:rsid w:val="006F2612"/>
    <w:rsid w:val="006F6064"/>
    <w:rsid w:val="006F6078"/>
    <w:rsid w:val="00702173"/>
    <w:rsid w:val="00703A93"/>
    <w:rsid w:val="00705098"/>
    <w:rsid w:val="00706FE7"/>
    <w:rsid w:val="007070EB"/>
    <w:rsid w:val="007072DA"/>
    <w:rsid w:val="007075FF"/>
    <w:rsid w:val="00712891"/>
    <w:rsid w:val="007129E3"/>
    <w:rsid w:val="007155F3"/>
    <w:rsid w:val="0071622F"/>
    <w:rsid w:val="007207E0"/>
    <w:rsid w:val="007234D1"/>
    <w:rsid w:val="00725332"/>
    <w:rsid w:val="00725729"/>
    <w:rsid w:val="00726365"/>
    <w:rsid w:val="00730083"/>
    <w:rsid w:val="007301D6"/>
    <w:rsid w:val="00742BAD"/>
    <w:rsid w:val="00744E6D"/>
    <w:rsid w:val="00745810"/>
    <w:rsid w:val="00745E58"/>
    <w:rsid w:val="0074606B"/>
    <w:rsid w:val="00747E33"/>
    <w:rsid w:val="00756D2D"/>
    <w:rsid w:val="00757A2C"/>
    <w:rsid w:val="007616CE"/>
    <w:rsid w:val="00761D2D"/>
    <w:rsid w:val="00763504"/>
    <w:rsid w:val="00764EDD"/>
    <w:rsid w:val="00766CC6"/>
    <w:rsid w:val="00771B56"/>
    <w:rsid w:val="00772C98"/>
    <w:rsid w:val="00775C64"/>
    <w:rsid w:val="00776999"/>
    <w:rsid w:val="007773F6"/>
    <w:rsid w:val="00780572"/>
    <w:rsid w:val="00780E8B"/>
    <w:rsid w:val="00783F3E"/>
    <w:rsid w:val="00784BBE"/>
    <w:rsid w:val="00793823"/>
    <w:rsid w:val="00794FA5"/>
    <w:rsid w:val="0079529D"/>
    <w:rsid w:val="0079593A"/>
    <w:rsid w:val="00796305"/>
    <w:rsid w:val="007972E1"/>
    <w:rsid w:val="007A0122"/>
    <w:rsid w:val="007A1BFD"/>
    <w:rsid w:val="007A547E"/>
    <w:rsid w:val="007A5C14"/>
    <w:rsid w:val="007A7261"/>
    <w:rsid w:val="007B2931"/>
    <w:rsid w:val="007B335D"/>
    <w:rsid w:val="007B6BE5"/>
    <w:rsid w:val="007B77BF"/>
    <w:rsid w:val="007D1E63"/>
    <w:rsid w:val="007D29B3"/>
    <w:rsid w:val="007D2B5B"/>
    <w:rsid w:val="007D487A"/>
    <w:rsid w:val="007F0451"/>
    <w:rsid w:val="007F2E6C"/>
    <w:rsid w:val="007F601B"/>
    <w:rsid w:val="007F638F"/>
    <w:rsid w:val="007F669A"/>
    <w:rsid w:val="007F77A1"/>
    <w:rsid w:val="00800765"/>
    <w:rsid w:val="0080515E"/>
    <w:rsid w:val="008128BB"/>
    <w:rsid w:val="00812BED"/>
    <w:rsid w:val="00812EEA"/>
    <w:rsid w:val="00814DC0"/>
    <w:rsid w:val="0081601E"/>
    <w:rsid w:val="008177EC"/>
    <w:rsid w:val="00820341"/>
    <w:rsid w:val="00821CFD"/>
    <w:rsid w:val="00824100"/>
    <w:rsid w:val="008265B7"/>
    <w:rsid w:val="00827863"/>
    <w:rsid w:val="00830459"/>
    <w:rsid w:val="0084153C"/>
    <w:rsid w:val="00843397"/>
    <w:rsid w:val="0084488B"/>
    <w:rsid w:val="0084497D"/>
    <w:rsid w:val="00851AD1"/>
    <w:rsid w:val="0085439C"/>
    <w:rsid w:val="008602F8"/>
    <w:rsid w:val="00863376"/>
    <w:rsid w:val="00863DAF"/>
    <w:rsid w:val="008671BA"/>
    <w:rsid w:val="008712B3"/>
    <w:rsid w:val="008749E0"/>
    <w:rsid w:val="008803D8"/>
    <w:rsid w:val="00880493"/>
    <w:rsid w:val="0088706F"/>
    <w:rsid w:val="00890160"/>
    <w:rsid w:val="00890283"/>
    <w:rsid w:val="008912BA"/>
    <w:rsid w:val="00894B27"/>
    <w:rsid w:val="008A1980"/>
    <w:rsid w:val="008A247D"/>
    <w:rsid w:val="008A2B41"/>
    <w:rsid w:val="008A46EC"/>
    <w:rsid w:val="008A5793"/>
    <w:rsid w:val="008B17BF"/>
    <w:rsid w:val="008B1C17"/>
    <w:rsid w:val="008B2AFD"/>
    <w:rsid w:val="008B3F3B"/>
    <w:rsid w:val="008B4936"/>
    <w:rsid w:val="008B7E44"/>
    <w:rsid w:val="008B7EB8"/>
    <w:rsid w:val="008C1674"/>
    <w:rsid w:val="008C26E2"/>
    <w:rsid w:val="008C323D"/>
    <w:rsid w:val="008C7B61"/>
    <w:rsid w:val="008D1111"/>
    <w:rsid w:val="008D2825"/>
    <w:rsid w:val="008D3A02"/>
    <w:rsid w:val="008D4710"/>
    <w:rsid w:val="008D4B8A"/>
    <w:rsid w:val="008D7F4C"/>
    <w:rsid w:val="008E4122"/>
    <w:rsid w:val="008E7FEB"/>
    <w:rsid w:val="008F2C9D"/>
    <w:rsid w:val="008F44A3"/>
    <w:rsid w:val="009059A9"/>
    <w:rsid w:val="00910E4A"/>
    <w:rsid w:val="0091444D"/>
    <w:rsid w:val="00914DFA"/>
    <w:rsid w:val="009162A7"/>
    <w:rsid w:val="00917763"/>
    <w:rsid w:val="00922DB4"/>
    <w:rsid w:val="00924205"/>
    <w:rsid w:val="009256A9"/>
    <w:rsid w:val="00926A96"/>
    <w:rsid w:val="00927616"/>
    <w:rsid w:val="0093081B"/>
    <w:rsid w:val="00931FAC"/>
    <w:rsid w:val="00932AF9"/>
    <w:rsid w:val="00933EF4"/>
    <w:rsid w:val="0093432A"/>
    <w:rsid w:val="00936FA0"/>
    <w:rsid w:val="00937EB0"/>
    <w:rsid w:val="0094148C"/>
    <w:rsid w:val="0094360E"/>
    <w:rsid w:val="00951E4D"/>
    <w:rsid w:val="00952223"/>
    <w:rsid w:val="0095343E"/>
    <w:rsid w:val="00956463"/>
    <w:rsid w:val="009578CD"/>
    <w:rsid w:val="0096073B"/>
    <w:rsid w:val="00960EBC"/>
    <w:rsid w:val="00961549"/>
    <w:rsid w:val="00963C06"/>
    <w:rsid w:val="009655AD"/>
    <w:rsid w:val="0096692F"/>
    <w:rsid w:val="00970410"/>
    <w:rsid w:val="00971429"/>
    <w:rsid w:val="00972D03"/>
    <w:rsid w:val="00974363"/>
    <w:rsid w:val="00976D7E"/>
    <w:rsid w:val="009804A9"/>
    <w:rsid w:val="00984E9F"/>
    <w:rsid w:val="009911D1"/>
    <w:rsid w:val="00993294"/>
    <w:rsid w:val="00995E70"/>
    <w:rsid w:val="009A4126"/>
    <w:rsid w:val="009A4859"/>
    <w:rsid w:val="009B4B50"/>
    <w:rsid w:val="009B5040"/>
    <w:rsid w:val="009B7B59"/>
    <w:rsid w:val="009C06C7"/>
    <w:rsid w:val="009C18A5"/>
    <w:rsid w:val="009C4128"/>
    <w:rsid w:val="009C484E"/>
    <w:rsid w:val="009D0685"/>
    <w:rsid w:val="009D3523"/>
    <w:rsid w:val="009E0215"/>
    <w:rsid w:val="009E0DFE"/>
    <w:rsid w:val="009E217D"/>
    <w:rsid w:val="009E4DE5"/>
    <w:rsid w:val="009E5B13"/>
    <w:rsid w:val="009E658D"/>
    <w:rsid w:val="009E6610"/>
    <w:rsid w:val="009E6F16"/>
    <w:rsid w:val="009E71A9"/>
    <w:rsid w:val="009F1920"/>
    <w:rsid w:val="009F35CA"/>
    <w:rsid w:val="009F526C"/>
    <w:rsid w:val="009F5C01"/>
    <w:rsid w:val="009F658E"/>
    <w:rsid w:val="009F71BB"/>
    <w:rsid w:val="009F79E2"/>
    <w:rsid w:val="00A00193"/>
    <w:rsid w:val="00A00C55"/>
    <w:rsid w:val="00A02982"/>
    <w:rsid w:val="00A0321B"/>
    <w:rsid w:val="00A033A4"/>
    <w:rsid w:val="00A03A97"/>
    <w:rsid w:val="00A03D82"/>
    <w:rsid w:val="00A07752"/>
    <w:rsid w:val="00A13699"/>
    <w:rsid w:val="00A150D3"/>
    <w:rsid w:val="00A15309"/>
    <w:rsid w:val="00A16F9A"/>
    <w:rsid w:val="00A2623A"/>
    <w:rsid w:val="00A30D6A"/>
    <w:rsid w:val="00A31BD5"/>
    <w:rsid w:val="00A35800"/>
    <w:rsid w:val="00A36CD3"/>
    <w:rsid w:val="00A41D6E"/>
    <w:rsid w:val="00A42ABF"/>
    <w:rsid w:val="00A42F44"/>
    <w:rsid w:val="00A53783"/>
    <w:rsid w:val="00A56E94"/>
    <w:rsid w:val="00A61E53"/>
    <w:rsid w:val="00A70E2F"/>
    <w:rsid w:val="00A727D9"/>
    <w:rsid w:val="00A76BA2"/>
    <w:rsid w:val="00A7744C"/>
    <w:rsid w:val="00A82B36"/>
    <w:rsid w:val="00A8460A"/>
    <w:rsid w:val="00A90036"/>
    <w:rsid w:val="00A90F64"/>
    <w:rsid w:val="00A90F91"/>
    <w:rsid w:val="00A92406"/>
    <w:rsid w:val="00A947BD"/>
    <w:rsid w:val="00AA3199"/>
    <w:rsid w:val="00AA587E"/>
    <w:rsid w:val="00AA607C"/>
    <w:rsid w:val="00AB29FA"/>
    <w:rsid w:val="00AB3BFB"/>
    <w:rsid w:val="00AB5174"/>
    <w:rsid w:val="00AB57D1"/>
    <w:rsid w:val="00AB659D"/>
    <w:rsid w:val="00AC5103"/>
    <w:rsid w:val="00AE2F73"/>
    <w:rsid w:val="00AE441A"/>
    <w:rsid w:val="00AE5346"/>
    <w:rsid w:val="00AE5BC6"/>
    <w:rsid w:val="00AE7453"/>
    <w:rsid w:val="00AF20EC"/>
    <w:rsid w:val="00AF24F1"/>
    <w:rsid w:val="00AF7D49"/>
    <w:rsid w:val="00B015E6"/>
    <w:rsid w:val="00B01DC8"/>
    <w:rsid w:val="00B10A10"/>
    <w:rsid w:val="00B134B6"/>
    <w:rsid w:val="00B134F7"/>
    <w:rsid w:val="00B160AF"/>
    <w:rsid w:val="00B2149E"/>
    <w:rsid w:val="00B220FF"/>
    <w:rsid w:val="00B24B9B"/>
    <w:rsid w:val="00B2554C"/>
    <w:rsid w:val="00B30FB4"/>
    <w:rsid w:val="00B324D1"/>
    <w:rsid w:val="00B34353"/>
    <w:rsid w:val="00B355D6"/>
    <w:rsid w:val="00B35D66"/>
    <w:rsid w:val="00B36ACB"/>
    <w:rsid w:val="00B3716D"/>
    <w:rsid w:val="00B371E4"/>
    <w:rsid w:val="00B4134A"/>
    <w:rsid w:val="00B41923"/>
    <w:rsid w:val="00B4248A"/>
    <w:rsid w:val="00B44492"/>
    <w:rsid w:val="00B54463"/>
    <w:rsid w:val="00B54823"/>
    <w:rsid w:val="00B54F93"/>
    <w:rsid w:val="00B56A67"/>
    <w:rsid w:val="00B60354"/>
    <w:rsid w:val="00B7371E"/>
    <w:rsid w:val="00B760D3"/>
    <w:rsid w:val="00B876A2"/>
    <w:rsid w:val="00B87719"/>
    <w:rsid w:val="00B90D56"/>
    <w:rsid w:val="00B914D1"/>
    <w:rsid w:val="00B96E48"/>
    <w:rsid w:val="00B97937"/>
    <w:rsid w:val="00B97A39"/>
    <w:rsid w:val="00BA181A"/>
    <w:rsid w:val="00BA1951"/>
    <w:rsid w:val="00BA2D1B"/>
    <w:rsid w:val="00BA4307"/>
    <w:rsid w:val="00BB079A"/>
    <w:rsid w:val="00BB2BD6"/>
    <w:rsid w:val="00BB4C59"/>
    <w:rsid w:val="00BB634A"/>
    <w:rsid w:val="00BB7851"/>
    <w:rsid w:val="00BB7F9E"/>
    <w:rsid w:val="00BC219D"/>
    <w:rsid w:val="00BC2D04"/>
    <w:rsid w:val="00BC2F38"/>
    <w:rsid w:val="00BC3221"/>
    <w:rsid w:val="00BC5647"/>
    <w:rsid w:val="00BC5B2D"/>
    <w:rsid w:val="00BC72CF"/>
    <w:rsid w:val="00BD0106"/>
    <w:rsid w:val="00BD0A33"/>
    <w:rsid w:val="00BD4BCF"/>
    <w:rsid w:val="00BD522A"/>
    <w:rsid w:val="00BD5C7C"/>
    <w:rsid w:val="00BD7B8F"/>
    <w:rsid w:val="00BE1DEC"/>
    <w:rsid w:val="00BF2A0F"/>
    <w:rsid w:val="00C10388"/>
    <w:rsid w:val="00C142AE"/>
    <w:rsid w:val="00C1567D"/>
    <w:rsid w:val="00C16FBC"/>
    <w:rsid w:val="00C23F09"/>
    <w:rsid w:val="00C25C4C"/>
    <w:rsid w:val="00C26EBF"/>
    <w:rsid w:val="00C331E2"/>
    <w:rsid w:val="00C3533B"/>
    <w:rsid w:val="00C40045"/>
    <w:rsid w:val="00C46C39"/>
    <w:rsid w:val="00C51D4C"/>
    <w:rsid w:val="00C54770"/>
    <w:rsid w:val="00C57EE6"/>
    <w:rsid w:val="00C63A37"/>
    <w:rsid w:val="00C67595"/>
    <w:rsid w:val="00C70949"/>
    <w:rsid w:val="00C7408F"/>
    <w:rsid w:val="00C746F1"/>
    <w:rsid w:val="00C80B0C"/>
    <w:rsid w:val="00C836ED"/>
    <w:rsid w:val="00C85327"/>
    <w:rsid w:val="00C869DC"/>
    <w:rsid w:val="00C948B5"/>
    <w:rsid w:val="00C95851"/>
    <w:rsid w:val="00C963CC"/>
    <w:rsid w:val="00C9684F"/>
    <w:rsid w:val="00CA2144"/>
    <w:rsid w:val="00CA2642"/>
    <w:rsid w:val="00CB7AB0"/>
    <w:rsid w:val="00CC19B1"/>
    <w:rsid w:val="00CC1DD3"/>
    <w:rsid w:val="00CC25EA"/>
    <w:rsid w:val="00CC3058"/>
    <w:rsid w:val="00CC3F6B"/>
    <w:rsid w:val="00CC4836"/>
    <w:rsid w:val="00CC4A6E"/>
    <w:rsid w:val="00CC60A6"/>
    <w:rsid w:val="00CC6364"/>
    <w:rsid w:val="00CC6FF1"/>
    <w:rsid w:val="00CD1F2A"/>
    <w:rsid w:val="00CE00AA"/>
    <w:rsid w:val="00CE03D6"/>
    <w:rsid w:val="00CE2838"/>
    <w:rsid w:val="00CF035D"/>
    <w:rsid w:val="00CF0E8C"/>
    <w:rsid w:val="00CF2020"/>
    <w:rsid w:val="00CF236C"/>
    <w:rsid w:val="00CF7C76"/>
    <w:rsid w:val="00D03F21"/>
    <w:rsid w:val="00D07B6E"/>
    <w:rsid w:val="00D13BA6"/>
    <w:rsid w:val="00D14A42"/>
    <w:rsid w:val="00D15781"/>
    <w:rsid w:val="00D160A4"/>
    <w:rsid w:val="00D21143"/>
    <w:rsid w:val="00D21F85"/>
    <w:rsid w:val="00D23389"/>
    <w:rsid w:val="00D2432F"/>
    <w:rsid w:val="00D24AFE"/>
    <w:rsid w:val="00D24B15"/>
    <w:rsid w:val="00D3033A"/>
    <w:rsid w:val="00D32325"/>
    <w:rsid w:val="00D333D8"/>
    <w:rsid w:val="00D339A4"/>
    <w:rsid w:val="00D35D45"/>
    <w:rsid w:val="00D3678A"/>
    <w:rsid w:val="00D452E0"/>
    <w:rsid w:val="00D50925"/>
    <w:rsid w:val="00D5115B"/>
    <w:rsid w:val="00D54E45"/>
    <w:rsid w:val="00D552C9"/>
    <w:rsid w:val="00D57F17"/>
    <w:rsid w:val="00D6081F"/>
    <w:rsid w:val="00D616BA"/>
    <w:rsid w:val="00D649F1"/>
    <w:rsid w:val="00D64D3E"/>
    <w:rsid w:val="00D6519F"/>
    <w:rsid w:val="00D65442"/>
    <w:rsid w:val="00D7291D"/>
    <w:rsid w:val="00D80A06"/>
    <w:rsid w:val="00D84F67"/>
    <w:rsid w:val="00D86EEE"/>
    <w:rsid w:val="00D90C14"/>
    <w:rsid w:val="00D920DA"/>
    <w:rsid w:val="00D93529"/>
    <w:rsid w:val="00D96879"/>
    <w:rsid w:val="00DB0BE8"/>
    <w:rsid w:val="00DB23F2"/>
    <w:rsid w:val="00DB2553"/>
    <w:rsid w:val="00DB33AA"/>
    <w:rsid w:val="00DC16CA"/>
    <w:rsid w:val="00DC2637"/>
    <w:rsid w:val="00DC6DF5"/>
    <w:rsid w:val="00DC7C16"/>
    <w:rsid w:val="00DD240D"/>
    <w:rsid w:val="00DD5783"/>
    <w:rsid w:val="00DD579D"/>
    <w:rsid w:val="00DE664F"/>
    <w:rsid w:val="00DE7B21"/>
    <w:rsid w:val="00E002C5"/>
    <w:rsid w:val="00E06ACC"/>
    <w:rsid w:val="00E111F7"/>
    <w:rsid w:val="00E14A69"/>
    <w:rsid w:val="00E200CF"/>
    <w:rsid w:val="00E22A2C"/>
    <w:rsid w:val="00E24431"/>
    <w:rsid w:val="00E27229"/>
    <w:rsid w:val="00E279F7"/>
    <w:rsid w:val="00E37056"/>
    <w:rsid w:val="00E40830"/>
    <w:rsid w:val="00E47C0B"/>
    <w:rsid w:val="00E51842"/>
    <w:rsid w:val="00E57CA9"/>
    <w:rsid w:val="00E60BBB"/>
    <w:rsid w:val="00E60CA2"/>
    <w:rsid w:val="00E61D97"/>
    <w:rsid w:val="00E62037"/>
    <w:rsid w:val="00E65570"/>
    <w:rsid w:val="00E724A5"/>
    <w:rsid w:val="00E76EE6"/>
    <w:rsid w:val="00E803C6"/>
    <w:rsid w:val="00E91603"/>
    <w:rsid w:val="00E97DCE"/>
    <w:rsid w:val="00EA054C"/>
    <w:rsid w:val="00EA5010"/>
    <w:rsid w:val="00EA5975"/>
    <w:rsid w:val="00EB47DB"/>
    <w:rsid w:val="00EB4E04"/>
    <w:rsid w:val="00EB582C"/>
    <w:rsid w:val="00EC3CD4"/>
    <w:rsid w:val="00EC6158"/>
    <w:rsid w:val="00EC7B63"/>
    <w:rsid w:val="00ED330A"/>
    <w:rsid w:val="00ED5365"/>
    <w:rsid w:val="00ED56ED"/>
    <w:rsid w:val="00ED75F6"/>
    <w:rsid w:val="00ED77BD"/>
    <w:rsid w:val="00EE3B8E"/>
    <w:rsid w:val="00EE5E8E"/>
    <w:rsid w:val="00EE6762"/>
    <w:rsid w:val="00EF13D4"/>
    <w:rsid w:val="00EF51EB"/>
    <w:rsid w:val="00EF56AC"/>
    <w:rsid w:val="00F002DA"/>
    <w:rsid w:val="00F01270"/>
    <w:rsid w:val="00F02A1F"/>
    <w:rsid w:val="00F03FE4"/>
    <w:rsid w:val="00F0655F"/>
    <w:rsid w:val="00F145F0"/>
    <w:rsid w:val="00F16A82"/>
    <w:rsid w:val="00F17642"/>
    <w:rsid w:val="00F21D18"/>
    <w:rsid w:val="00F22CF3"/>
    <w:rsid w:val="00F23921"/>
    <w:rsid w:val="00F338E1"/>
    <w:rsid w:val="00F34203"/>
    <w:rsid w:val="00F36580"/>
    <w:rsid w:val="00F421AF"/>
    <w:rsid w:val="00F4681F"/>
    <w:rsid w:val="00F55C68"/>
    <w:rsid w:val="00F56507"/>
    <w:rsid w:val="00F57EC5"/>
    <w:rsid w:val="00F60617"/>
    <w:rsid w:val="00F61763"/>
    <w:rsid w:val="00F618A6"/>
    <w:rsid w:val="00F650D1"/>
    <w:rsid w:val="00F75C8D"/>
    <w:rsid w:val="00F773CF"/>
    <w:rsid w:val="00F81E25"/>
    <w:rsid w:val="00F84CE3"/>
    <w:rsid w:val="00F85797"/>
    <w:rsid w:val="00F86E5A"/>
    <w:rsid w:val="00F9058C"/>
    <w:rsid w:val="00F94FD0"/>
    <w:rsid w:val="00FB4606"/>
    <w:rsid w:val="00FB51CD"/>
    <w:rsid w:val="00FB6012"/>
    <w:rsid w:val="00FC6C64"/>
    <w:rsid w:val="00FD143C"/>
    <w:rsid w:val="00FD2B69"/>
    <w:rsid w:val="00FD2EB6"/>
    <w:rsid w:val="00FD6C9C"/>
    <w:rsid w:val="00FD70A5"/>
    <w:rsid w:val="00FE0F57"/>
    <w:rsid w:val="00FE3C67"/>
    <w:rsid w:val="00FE58AB"/>
    <w:rsid w:val="00FE67CA"/>
    <w:rsid w:val="00FF3DED"/>
    <w:rsid w:val="00FF46CE"/>
    <w:rsid w:val="00FF4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145D32"/>
  <w15:chartTrackingRefBased/>
  <w15:docId w15:val="{2B92AC14-0896-4928-A16F-99397E02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uiPriority w:val="99"/>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rsid w:val="004531A7"/>
    <w:pPr>
      <w:ind w:left="720"/>
      <w:contextualSpacing/>
    </w:pPr>
  </w:style>
  <w:style w:type="character" w:customStyle="1" w:styleId="Para1CharChar">
    <w:name w:val="Para 1 Char Char"/>
    <w:link w:val="Para1"/>
    <w:uiPriority w:val="99"/>
    <w:rsid w:val="009E217D"/>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48F171516A54B8F1C9DA714DEC8F3" ma:contentTypeVersion="4" ma:contentTypeDescription="Create a new document." ma:contentTypeScope="" ma:versionID="33215ab5e3d6d246384c362c39c494df">
  <xsd:schema xmlns:xsd="http://www.w3.org/2001/XMLSchema" xmlns:xs="http://www.w3.org/2001/XMLSchema" xmlns:p="http://schemas.microsoft.com/office/2006/metadata/properties" xmlns:ns3="03254524-6363-4651-8437-294c2f7e21c4" targetNamespace="http://schemas.microsoft.com/office/2006/metadata/properties" ma:root="true" ma:fieldsID="200eae19c93c7cc975cdd5b142819bbf" ns3:_="">
    <xsd:import namespace="03254524-6363-4651-8437-294c2f7e21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54524-6363-4651-8437-294c2f7e2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27C0B-5912-413C-B9EC-574C5AC5EA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095FC3-30DB-484D-9A52-8E0CECBA3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54524-6363-4651-8437-294c2f7e2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25A9E-F845-4D62-812F-180C2F15B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3809</Words>
  <Characters>20044</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Sarah J McDonald (CSV)</dc:creator>
  <cp:keywords/>
  <dc:description/>
  <cp:lastModifiedBy>Stela Andrei (CSV)</cp:lastModifiedBy>
  <cp:revision>2</cp:revision>
  <cp:lastPrinted>2016-10-05T18:04:00Z</cp:lastPrinted>
  <dcterms:created xsi:type="dcterms:W3CDTF">2021-01-27T03:59:00Z</dcterms:created>
  <dcterms:modified xsi:type="dcterms:W3CDTF">2021-01-27T03:59:00Z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0x01010061248F171516A54B8F1C9DA714DEC8F3</vt:lpwstr>
  </property>
</Properties>
</file>