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7F" w:rsidRPr="00EB7886" w:rsidRDefault="00D672FF">
      <w:pPr>
        <w:pStyle w:val="Heading1"/>
        <w:jc w:val="left"/>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CAT Seal1" o:spid="_x0000_s1027" type="#_x0000_t75" style="position:absolute;margin-left:490.35pt;margin-top:734.15pt;width:83.1pt;height:83.1pt;z-index:-251658240;mso-position-horizontal:absolute;mso-position-horizontal-relative:page;mso-position-vertical:absolute;mso-position-vertical-relative:page">
            <v:imagedata r:id="rId8" o:title="seal_black_text"/>
            <w10:wrap anchorx="page" anchory="page"/>
            <w10:anchorlock/>
          </v:shape>
        </w:pict>
      </w:r>
      <w:r w:rsidR="00FC407F" w:rsidRPr="00EB7886">
        <w:t>VICTORIAN CIVIL AND ADMINISTRATIVE TRIBUNAL</w:t>
      </w:r>
    </w:p>
    <w:p w:rsidR="00FC407F" w:rsidRPr="00EB7886" w:rsidRDefault="00FC407F">
      <w:pPr>
        <w:pStyle w:val="Heading1"/>
        <w:jc w:val="left"/>
      </w:pPr>
      <w:bookmarkStart w:id="1" w:name="Division"/>
      <w:bookmarkEnd w:id="1"/>
      <w:r w:rsidRPr="00EB7886">
        <w:t>administrative DIVISION</w:t>
      </w:r>
    </w:p>
    <w:tbl>
      <w:tblPr>
        <w:tblW w:w="8928" w:type="dxa"/>
        <w:tblLayout w:type="fixed"/>
        <w:tblLook w:val="0000" w:firstRow="0" w:lastRow="0" w:firstColumn="0" w:lastColumn="0" w:noHBand="0" w:noVBand="0"/>
      </w:tblPr>
      <w:tblGrid>
        <w:gridCol w:w="4608"/>
        <w:gridCol w:w="4320"/>
      </w:tblGrid>
      <w:tr w:rsidR="00FC407F" w:rsidRPr="00EB7886">
        <w:tblPrEx>
          <w:tblCellMar>
            <w:top w:w="0" w:type="dxa"/>
            <w:bottom w:w="0" w:type="dxa"/>
          </w:tblCellMar>
        </w:tblPrEx>
        <w:trPr>
          <w:cantSplit/>
        </w:trPr>
        <w:tc>
          <w:tcPr>
            <w:tcW w:w="4608" w:type="dxa"/>
          </w:tcPr>
          <w:p w:rsidR="00FC407F" w:rsidRPr="00EB7886" w:rsidRDefault="00FC407F">
            <w:pPr>
              <w:pStyle w:val="Heading1"/>
              <w:jc w:val="left"/>
            </w:pPr>
            <w:bookmarkStart w:id="2" w:name="SubDivision"/>
            <w:bookmarkEnd w:id="2"/>
            <w:r w:rsidRPr="00EB7886">
              <w:t>planning and environment LIST</w:t>
            </w:r>
          </w:p>
        </w:tc>
        <w:tc>
          <w:tcPr>
            <w:tcW w:w="4320" w:type="dxa"/>
          </w:tcPr>
          <w:p w:rsidR="00FC407F" w:rsidRPr="00EB7886" w:rsidRDefault="00FC407F">
            <w:pPr>
              <w:pStyle w:val="TitlePage3"/>
            </w:pPr>
            <w:r w:rsidRPr="00EB7886">
              <w:t xml:space="preserve">vcat reference No. </w:t>
            </w:r>
            <w:r w:rsidR="00801AB6" w:rsidRPr="00EB7886">
              <w:t>P</w:t>
            </w:r>
            <w:r w:rsidR="00EA227C">
              <w:t>1687</w:t>
            </w:r>
            <w:r w:rsidR="00801AB6" w:rsidRPr="00EB7886">
              <w:t>/201</w:t>
            </w:r>
            <w:r w:rsidR="00EA227C">
              <w:t>8</w:t>
            </w:r>
          </w:p>
          <w:p w:rsidR="00FC407F" w:rsidRPr="00EB7886" w:rsidRDefault="00FC407F">
            <w:pPr>
              <w:pStyle w:val="TitlePage3"/>
            </w:pPr>
            <w:r w:rsidRPr="00EB7886">
              <w:t xml:space="preserve">Permit Application no. </w:t>
            </w:r>
            <w:r w:rsidR="00801AB6" w:rsidRPr="00EB7886">
              <w:t>TPA/4</w:t>
            </w:r>
            <w:r w:rsidR="00EA227C">
              <w:t>8930</w:t>
            </w:r>
          </w:p>
        </w:tc>
        <w:bookmarkStart w:id="3" w:name="FileNo1"/>
        <w:bookmarkEnd w:id="3"/>
      </w:tr>
    </w:tbl>
    <w:p w:rsidR="00FC407F" w:rsidRPr="007C1D14" w:rsidRDefault="00FC407F">
      <w:pPr>
        <w:jc w:val="center"/>
        <w:rPr>
          <w:sz w:val="16"/>
          <w:szCs w:val="16"/>
        </w:rPr>
      </w:pPr>
    </w:p>
    <w:tbl>
      <w:tblPr>
        <w:tblW w:w="8926" w:type="dxa"/>
        <w:jc w:val="center"/>
        <w:tblLayout w:type="fixed"/>
        <w:tblLook w:val="0000" w:firstRow="0" w:lastRow="0" w:firstColumn="0" w:lastColumn="0" w:noHBand="0" w:noVBand="0"/>
      </w:tblPr>
      <w:tblGrid>
        <w:gridCol w:w="8926"/>
      </w:tblGrid>
      <w:tr w:rsidR="00FC407F" w:rsidRPr="00EB7886">
        <w:tblPrEx>
          <w:tblCellMar>
            <w:top w:w="0" w:type="dxa"/>
            <w:bottom w:w="0" w:type="dxa"/>
          </w:tblCellMar>
        </w:tblPrEx>
        <w:trPr>
          <w:cantSplit/>
          <w:jc w:val="center"/>
        </w:trPr>
        <w:tc>
          <w:tcPr>
            <w:tcW w:w="8926" w:type="dxa"/>
          </w:tcPr>
          <w:p w:rsidR="00FC407F" w:rsidRPr="00EB7886" w:rsidRDefault="00FC407F">
            <w:pPr>
              <w:pStyle w:val="Heading2"/>
              <w:jc w:val="center"/>
            </w:pPr>
            <w:bookmarkStart w:id="4" w:name="Catchwords"/>
            <w:bookmarkEnd w:id="4"/>
            <w:r w:rsidRPr="00EB7886">
              <w:t>CATCHWORDS</w:t>
            </w:r>
          </w:p>
        </w:tc>
      </w:tr>
      <w:tr w:rsidR="00FC407F" w:rsidRPr="00EB7886">
        <w:tblPrEx>
          <w:tblCellMar>
            <w:top w:w="0" w:type="dxa"/>
            <w:bottom w:w="0" w:type="dxa"/>
          </w:tblCellMar>
        </w:tblPrEx>
        <w:trPr>
          <w:cantSplit/>
          <w:jc w:val="center"/>
        </w:trPr>
        <w:tc>
          <w:tcPr>
            <w:tcW w:w="8926" w:type="dxa"/>
          </w:tcPr>
          <w:p w:rsidR="00FC407F" w:rsidRPr="00EB7886" w:rsidRDefault="00801AB6" w:rsidP="00801AB6">
            <w:pPr>
              <w:pStyle w:val="Catchwords"/>
              <w:jc w:val="center"/>
              <w:rPr>
                <w:sz w:val="16"/>
                <w:szCs w:val="16"/>
              </w:rPr>
            </w:pPr>
            <w:r w:rsidRPr="00EB7886">
              <w:rPr>
                <w:sz w:val="16"/>
                <w:szCs w:val="16"/>
              </w:rPr>
              <w:t xml:space="preserve">Section 77 of the </w:t>
            </w:r>
            <w:r w:rsidRPr="00EB7886">
              <w:rPr>
                <w:i/>
                <w:sz w:val="16"/>
                <w:szCs w:val="16"/>
              </w:rPr>
              <w:t xml:space="preserve">Planning &amp; Environment Act </w:t>
            </w:r>
            <w:r w:rsidRPr="00EB7886">
              <w:rPr>
                <w:sz w:val="16"/>
                <w:szCs w:val="16"/>
              </w:rPr>
              <w:t xml:space="preserve">1987; Monash Planning Scheme; </w:t>
            </w:r>
            <w:r w:rsidRPr="00EB7886">
              <w:rPr>
                <w:sz w:val="16"/>
                <w:szCs w:val="16"/>
              </w:rPr>
              <w:br/>
              <w:t>Two dwellings: Neighbourhood character (GRZ2; Cl. 22.01 – Character Type C; Cl. 55)</w:t>
            </w:r>
          </w:p>
        </w:tc>
      </w:tr>
    </w:tbl>
    <w:p w:rsidR="00FC407F" w:rsidRPr="00EB7886" w:rsidRDefault="00FC407F"/>
    <w:tbl>
      <w:tblPr>
        <w:tblW w:w="8928" w:type="dxa"/>
        <w:tblLayout w:type="fixed"/>
        <w:tblLook w:val="0000" w:firstRow="0" w:lastRow="0" w:firstColumn="0" w:lastColumn="0" w:noHBand="0" w:noVBand="0"/>
      </w:tblPr>
      <w:tblGrid>
        <w:gridCol w:w="3528"/>
        <w:gridCol w:w="5400"/>
      </w:tblGrid>
      <w:tr w:rsidR="00FC407F" w:rsidRPr="00EB7886">
        <w:tblPrEx>
          <w:tblCellMar>
            <w:top w:w="0" w:type="dxa"/>
            <w:bottom w:w="0" w:type="dxa"/>
          </w:tblCellMar>
        </w:tblPrEx>
        <w:tc>
          <w:tcPr>
            <w:tcW w:w="3528" w:type="dxa"/>
          </w:tcPr>
          <w:p w:rsidR="00FC407F" w:rsidRPr="00EB7886" w:rsidRDefault="00FC407F">
            <w:pPr>
              <w:pStyle w:val="TitlePage2"/>
            </w:pPr>
            <w:r w:rsidRPr="00EB7886">
              <w:t>APPLICANT</w:t>
            </w:r>
          </w:p>
        </w:tc>
        <w:tc>
          <w:tcPr>
            <w:tcW w:w="5400" w:type="dxa"/>
          </w:tcPr>
          <w:p w:rsidR="00FC407F" w:rsidRPr="00EB7886" w:rsidRDefault="00463AFA">
            <w:pPr>
              <w:pStyle w:val="TitlePagetext"/>
            </w:pPr>
            <w:bookmarkStart w:id="5" w:name="Applicant"/>
            <w:bookmarkEnd w:id="5"/>
            <w:r>
              <w:t>Rohit and Rajeev</w:t>
            </w:r>
            <w:r w:rsidR="003B3DB4">
              <w:t xml:space="preserve"> Sharma</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RESPONSIBLE AUTHORITY</w:t>
            </w:r>
          </w:p>
        </w:tc>
        <w:tc>
          <w:tcPr>
            <w:tcW w:w="5400" w:type="dxa"/>
          </w:tcPr>
          <w:p w:rsidR="00FC407F" w:rsidRPr="00EB7886" w:rsidRDefault="00801AB6">
            <w:pPr>
              <w:pStyle w:val="TitlePagetext"/>
            </w:pPr>
            <w:r w:rsidRPr="00EB7886">
              <w:t>Monash City Council</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RESPONDENT</w:t>
            </w:r>
          </w:p>
        </w:tc>
        <w:tc>
          <w:tcPr>
            <w:tcW w:w="5400" w:type="dxa"/>
          </w:tcPr>
          <w:p w:rsidR="00FC407F" w:rsidRPr="00EB7886" w:rsidRDefault="003B3DB4">
            <w:pPr>
              <w:pStyle w:val="TitlePagetext"/>
            </w:pPr>
            <w:r>
              <w:t>Alastair Woodard</w:t>
            </w:r>
          </w:p>
        </w:tc>
      </w:tr>
      <w:tr w:rsidR="00FC407F" w:rsidRPr="00EB7886">
        <w:tblPrEx>
          <w:tblCellMar>
            <w:top w:w="0" w:type="dxa"/>
            <w:bottom w:w="0" w:type="dxa"/>
          </w:tblCellMar>
        </w:tblPrEx>
        <w:tc>
          <w:tcPr>
            <w:tcW w:w="3528" w:type="dxa"/>
          </w:tcPr>
          <w:p w:rsidR="00FC407F" w:rsidRPr="00EB7886" w:rsidRDefault="00FC407F">
            <w:pPr>
              <w:pStyle w:val="TitlePage2"/>
            </w:pPr>
            <w:smartTag w:uri="urn:schemas-microsoft-com:office:smarttags" w:element="place">
              <w:smartTag w:uri="urn:schemas-microsoft-com:office:smarttags" w:element="PlaceName">
                <w:r w:rsidRPr="00EB7886">
                  <w:t>SUBJECT</w:t>
                </w:r>
              </w:smartTag>
              <w:r w:rsidRPr="00EB7886">
                <w:t xml:space="preserve"> </w:t>
              </w:r>
              <w:smartTag w:uri="urn:schemas-microsoft-com:office:smarttags" w:element="PlaceType">
                <w:r w:rsidRPr="00EB7886">
                  <w:t>LAND</w:t>
                </w:r>
              </w:smartTag>
            </w:smartTag>
          </w:p>
        </w:tc>
        <w:tc>
          <w:tcPr>
            <w:tcW w:w="5400" w:type="dxa"/>
          </w:tcPr>
          <w:p w:rsidR="00FC407F" w:rsidRPr="00EB7886" w:rsidRDefault="003B3DB4">
            <w:pPr>
              <w:pStyle w:val="TitlePagetext"/>
            </w:pPr>
            <w:r>
              <w:t>5 Armstrong Street</w:t>
            </w:r>
            <w:r w:rsidR="00EB7886" w:rsidRPr="00EB7886">
              <w:t>, Mount Waverley</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WHERE HELD</w:t>
            </w:r>
          </w:p>
        </w:tc>
        <w:tc>
          <w:tcPr>
            <w:tcW w:w="5400" w:type="dxa"/>
          </w:tcPr>
          <w:p w:rsidR="00FC407F" w:rsidRPr="00EB7886" w:rsidRDefault="00FC407F">
            <w:pPr>
              <w:pStyle w:val="TitlePagetext"/>
            </w:pPr>
            <w:bookmarkStart w:id="6" w:name="subjectland"/>
            <w:bookmarkEnd w:id="6"/>
            <w:smartTag w:uri="urn:schemas-microsoft-com:office:smarttags" w:element="place">
              <w:smartTag w:uri="urn:schemas-microsoft-com:office:smarttags" w:element="City">
                <w:r w:rsidRPr="00EB7886">
                  <w:t>Melbourne</w:t>
                </w:r>
              </w:smartTag>
            </w:smartTag>
          </w:p>
        </w:tc>
      </w:tr>
      <w:tr w:rsidR="00FC407F" w:rsidRPr="00EB7886">
        <w:tblPrEx>
          <w:tblCellMar>
            <w:top w:w="0" w:type="dxa"/>
            <w:bottom w:w="0" w:type="dxa"/>
          </w:tblCellMar>
        </w:tblPrEx>
        <w:tc>
          <w:tcPr>
            <w:tcW w:w="3528" w:type="dxa"/>
          </w:tcPr>
          <w:p w:rsidR="00FC407F" w:rsidRPr="00EB7886" w:rsidRDefault="00FC407F">
            <w:pPr>
              <w:pStyle w:val="TitlePage2"/>
            </w:pPr>
            <w:r w:rsidRPr="00EB7886">
              <w:t>BEFORE</w:t>
            </w:r>
          </w:p>
        </w:tc>
        <w:tc>
          <w:tcPr>
            <w:tcW w:w="5400" w:type="dxa"/>
          </w:tcPr>
          <w:p w:rsidR="00FC407F" w:rsidRPr="00EB7886" w:rsidRDefault="00AD5463">
            <w:pPr>
              <w:pStyle w:val="TitlePagetext"/>
            </w:pPr>
            <w:bookmarkStart w:id="7" w:name="Location"/>
            <w:bookmarkEnd w:id="7"/>
            <w:r w:rsidRPr="00EB7886">
              <w:t>Tracy Watson, Member</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HEARING TYPE</w:t>
            </w:r>
          </w:p>
        </w:tc>
        <w:tc>
          <w:tcPr>
            <w:tcW w:w="5400" w:type="dxa"/>
          </w:tcPr>
          <w:p w:rsidR="00FC407F" w:rsidRPr="00EB7886" w:rsidRDefault="00FC407F">
            <w:pPr>
              <w:pStyle w:val="TitlePagetext"/>
            </w:pPr>
            <w:bookmarkStart w:id="8" w:name="Before"/>
            <w:bookmarkEnd w:id="8"/>
            <w:r w:rsidRPr="00EB7886">
              <w:t>Hearing</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DATE OF HEARING</w:t>
            </w:r>
          </w:p>
        </w:tc>
        <w:tc>
          <w:tcPr>
            <w:tcW w:w="5400" w:type="dxa"/>
          </w:tcPr>
          <w:p w:rsidR="00FC407F" w:rsidRPr="00EB7886" w:rsidRDefault="00EA227C">
            <w:pPr>
              <w:pStyle w:val="TitlePagetext"/>
            </w:pPr>
            <w:bookmarkStart w:id="9" w:name="HearingType"/>
            <w:bookmarkEnd w:id="9"/>
            <w:r>
              <w:t>5 March 2019</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DATE OF ORDER</w:t>
            </w:r>
          </w:p>
        </w:tc>
        <w:tc>
          <w:tcPr>
            <w:tcW w:w="5400" w:type="dxa"/>
          </w:tcPr>
          <w:p w:rsidR="00FC407F" w:rsidRPr="00EB7886" w:rsidRDefault="00EA227C">
            <w:pPr>
              <w:pStyle w:val="TitlePagetext"/>
            </w:pPr>
            <w:bookmarkStart w:id="10" w:name="HearingDate"/>
            <w:bookmarkEnd w:id="10"/>
            <w:r>
              <w:t>15 April 2019</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CITATION</w:t>
            </w:r>
          </w:p>
        </w:tc>
        <w:tc>
          <w:tcPr>
            <w:tcW w:w="5400" w:type="dxa"/>
          </w:tcPr>
          <w:p w:rsidR="00FC407F" w:rsidRPr="00EB7886" w:rsidRDefault="00EA227C">
            <w:pPr>
              <w:pStyle w:val="TitlePagetext"/>
            </w:pPr>
            <w:bookmarkStart w:id="11" w:name="DateOrder"/>
            <w:bookmarkEnd w:id="11"/>
            <w:r>
              <w:rPr>
                <w:color w:val="000000"/>
                <w:lang w:eastAsia="en-AU"/>
              </w:rPr>
              <w:t>Sharma</w:t>
            </w:r>
            <w:r w:rsidR="00EB7886" w:rsidRPr="00EB7886">
              <w:rPr>
                <w:color w:val="000000"/>
                <w:lang w:eastAsia="en-AU"/>
              </w:rPr>
              <w:t xml:space="preserve"> v Monash CC [201</w:t>
            </w:r>
            <w:r>
              <w:rPr>
                <w:color w:val="000000"/>
                <w:lang w:eastAsia="en-AU"/>
              </w:rPr>
              <w:t>9</w:t>
            </w:r>
            <w:r w:rsidR="00EB7886" w:rsidRPr="00EB7886">
              <w:rPr>
                <w:color w:val="000000"/>
                <w:lang w:eastAsia="en-AU"/>
              </w:rPr>
              <w:t xml:space="preserve">] VCAT </w:t>
            </w:r>
            <w:r w:rsidR="00C0186B">
              <w:rPr>
                <w:color w:val="000000"/>
                <w:lang w:eastAsia="en-AU"/>
              </w:rPr>
              <w:t>544</w:t>
            </w:r>
          </w:p>
        </w:tc>
      </w:tr>
    </w:tbl>
    <w:p w:rsidR="00FC407F" w:rsidRPr="00EB7886" w:rsidRDefault="00FC407F" w:rsidP="00EB7886">
      <w:pPr>
        <w:pStyle w:val="Heading1"/>
        <w:spacing w:after="240"/>
        <w:ind w:right="-130"/>
      </w:pPr>
      <w:r w:rsidRPr="00EB7886">
        <w:t>Order</w:t>
      </w:r>
    </w:p>
    <w:p w:rsidR="00EB7886" w:rsidRPr="00EB7886" w:rsidRDefault="00EB7886" w:rsidP="00EB7886">
      <w:pPr>
        <w:pStyle w:val="Order2"/>
        <w:numPr>
          <w:ilvl w:val="0"/>
          <w:numId w:val="6"/>
        </w:numPr>
      </w:pPr>
      <w:r w:rsidRPr="00EB7886">
        <w:rPr>
          <w:lang w:val="en-GB"/>
        </w:rPr>
        <w:t xml:space="preserve">Pursuant to section 127 and clause 64 of Schedule 1 of the </w:t>
      </w:r>
      <w:r w:rsidRPr="00EB7886">
        <w:rPr>
          <w:i/>
          <w:lang w:val="en-GB"/>
        </w:rPr>
        <w:t xml:space="preserve">Victorian Civil &amp; Administrative Tribunal Act </w:t>
      </w:r>
      <w:r w:rsidRPr="00EB7886">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528"/>
        <w:gridCol w:w="5193"/>
      </w:tblGrid>
      <w:tr w:rsidR="00EB7886" w:rsidRPr="00EB7886" w:rsidTr="0008012D">
        <w:tc>
          <w:tcPr>
            <w:tcW w:w="3528" w:type="dxa"/>
            <w:shd w:val="clear" w:color="auto" w:fill="auto"/>
          </w:tcPr>
          <w:p w:rsidR="00EB7886" w:rsidRPr="00EB7886" w:rsidRDefault="00EB7886" w:rsidP="0008012D">
            <w:pPr>
              <w:pStyle w:val="Para5"/>
            </w:pPr>
            <w:r w:rsidRPr="00EB7886">
              <w:t>Prepared by:</w:t>
            </w:r>
          </w:p>
        </w:tc>
        <w:tc>
          <w:tcPr>
            <w:tcW w:w="5193" w:type="dxa"/>
            <w:shd w:val="clear" w:color="auto" w:fill="auto"/>
          </w:tcPr>
          <w:p w:rsidR="00EB7886" w:rsidRPr="00EB7886" w:rsidRDefault="00EB7886" w:rsidP="0008012D">
            <w:pPr>
              <w:pStyle w:val="Para2"/>
              <w:ind w:left="0"/>
            </w:pPr>
            <w:r w:rsidRPr="00EB7886">
              <w:t>Design Edge Associates</w:t>
            </w:r>
          </w:p>
        </w:tc>
      </w:tr>
      <w:tr w:rsidR="00EB7886" w:rsidRPr="00EB7886" w:rsidTr="0008012D">
        <w:tc>
          <w:tcPr>
            <w:tcW w:w="3528" w:type="dxa"/>
            <w:shd w:val="clear" w:color="auto" w:fill="auto"/>
          </w:tcPr>
          <w:p w:rsidR="00EB7886" w:rsidRPr="00EB7886" w:rsidRDefault="00EB7886" w:rsidP="0008012D">
            <w:pPr>
              <w:pStyle w:val="Para5"/>
            </w:pPr>
            <w:r w:rsidRPr="00EB7886">
              <w:t>Drawing numbers:</w:t>
            </w:r>
          </w:p>
        </w:tc>
        <w:tc>
          <w:tcPr>
            <w:tcW w:w="5193" w:type="dxa"/>
            <w:shd w:val="clear" w:color="auto" w:fill="auto"/>
          </w:tcPr>
          <w:p w:rsidR="00EB7886" w:rsidRPr="00EB7886" w:rsidRDefault="00EB7886" w:rsidP="0008012D">
            <w:pPr>
              <w:pStyle w:val="Para2"/>
              <w:ind w:left="0"/>
            </w:pPr>
            <w:r w:rsidRPr="00EB7886">
              <w:t>TP.2</w:t>
            </w:r>
            <w:r w:rsidR="003B3DB4">
              <w:t>00B</w:t>
            </w:r>
            <w:r w:rsidRPr="00EB7886">
              <w:t xml:space="preserve">; </w:t>
            </w:r>
            <w:r w:rsidR="003B3DB4">
              <w:t xml:space="preserve">TP.201B; </w:t>
            </w:r>
            <w:r w:rsidRPr="00EB7886">
              <w:t>TP.202B; and TP.300</w:t>
            </w:r>
            <w:r w:rsidR="003B3DB4">
              <w:t>B</w:t>
            </w:r>
          </w:p>
        </w:tc>
      </w:tr>
      <w:tr w:rsidR="00EB7886" w:rsidRPr="00EB7886" w:rsidTr="0008012D">
        <w:tc>
          <w:tcPr>
            <w:tcW w:w="3528" w:type="dxa"/>
            <w:shd w:val="clear" w:color="auto" w:fill="auto"/>
          </w:tcPr>
          <w:p w:rsidR="00EB7886" w:rsidRPr="00EB7886" w:rsidRDefault="00EB7886" w:rsidP="0008012D">
            <w:pPr>
              <w:pStyle w:val="Para5"/>
            </w:pPr>
            <w:r w:rsidRPr="00EB7886">
              <w:t>Dated:</w:t>
            </w:r>
          </w:p>
        </w:tc>
        <w:tc>
          <w:tcPr>
            <w:tcW w:w="5193" w:type="dxa"/>
            <w:shd w:val="clear" w:color="auto" w:fill="auto"/>
          </w:tcPr>
          <w:p w:rsidR="00EB7886" w:rsidRPr="00EB7886" w:rsidRDefault="003B3DB4" w:rsidP="0008012D">
            <w:pPr>
              <w:pStyle w:val="Para2"/>
              <w:ind w:left="0"/>
            </w:pPr>
            <w:r>
              <w:t>29/11/18 – VCAT Issue</w:t>
            </w:r>
          </w:p>
        </w:tc>
      </w:tr>
    </w:tbl>
    <w:p w:rsidR="00FC407F" w:rsidRDefault="00FC407F">
      <w:pPr>
        <w:pStyle w:val="Order2"/>
      </w:pPr>
      <w:r w:rsidRPr="00EB7886">
        <w:t xml:space="preserve">The decision of the Responsible Authority is </w:t>
      </w:r>
      <w:r w:rsidR="003B3DB4">
        <w:t>affirmed</w:t>
      </w:r>
      <w:r w:rsidRPr="00EB7886">
        <w:t>.</w:t>
      </w:r>
    </w:p>
    <w:p w:rsidR="003B3DB4" w:rsidRPr="00942ADA" w:rsidRDefault="003B3DB4" w:rsidP="003B3DB4">
      <w:pPr>
        <w:pStyle w:val="Order2"/>
      </w:pPr>
      <w:r w:rsidRPr="00942ADA">
        <w:t xml:space="preserve">In permit application </w:t>
      </w:r>
      <w:r>
        <w:t>TPA</w:t>
      </w:r>
      <w:r w:rsidRPr="00942ADA">
        <w:t>/</w:t>
      </w:r>
      <w:r>
        <w:t xml:space="preserve">48930 </w:t>
      </w:r>
      <w:r w:rsidRPr="00942ADA">
        <w:t>no permit is granted.</w:t>
      </w:r>
    </w:p>
    <w:tbl>
      <w:tblPr>
        <w:tblW w:w="8928" w:type="dxa"/>
        <w:tblLayout w:type="fixed"/>
        <w:tblLook w:val="0000" w:firstRow="0" w:lastRow="0" w:firstColumn="0" w:lastColumn="0" w:noHBand="0" w:noVBand="0"/>
      </w:tblPr>
      <w:tblGrid>
        <w:gridCol w:w="2907"/>
        <w:gridCol w:w="2908"/>
        <w:gridCol w:w="3113"/>
      </w:tblGrid>
      <w:tr w:rsidR="00FC407F" w:rsidRPr="00EB7886">
        <w:tblPrEx>
          <w:tblCellMar>
            <w:top w:w="0" w:type="dxa"/>
            <w:bottom w:w="0" w:type="dxa"/>
          </w:tblCellMar>
        </w:tblPrEx>
        <w:tc>
          <w:tcPr>
            <w:tcW w:w="2907" w:type="dxa"/>
          </w:tcPr>
          <w:p w:rsidR="00FC407F" w:rsidRDefault="00FC407F">
            <w:pPr>
              <w:tabs>
                <w:tab w:val="left" w:pos="1515"/>
              </w:tabs>
              <w:rPr>
                <w:b/>
              </w:rPr>
            </w:pPr>
          </w:p>
          <w:p w:rsidR="007C1D14" w:rsidRDefault="007C1D14">
            <w:pPr>
              <w:tabs>
                <w:tab w:val="left" w:pos="1515"/>
              </w:tabs>
              <w:rPr>
                <w:b/>
              </w:rPr>
            </w:pPr>
          </w:p>
          <w:p w:rsidR="007C1D14" w:rsidRDefault="007C1D14">
            <w:pPr>
              <w:tabs>
                <w:tab w:val="left" w:pos="1515"/>
              </w:tabs>
              <w:rPr>
                <w:b/>
              </w:rPr>
            </w:pPr>
          </w:p>
          <w:p w:rsidR="00FC407F" w:rsidRPr="00EB7886" w:rsidRDefault="001B2259" w:rsidP="001B2259">
            <w:pPr>
              <w:tabs>
                <w:tab w:val="left" w:pos="1515"/>
              </w:tabs>
              <w:rPr>
                <w:b/>
              </w:rPr>
            </w:pPr>
            <w:r w:rsidRPr="00EB7886">
              <w:t>Tracy Watson</w:t>
            </w:r>
            <w:r w:rsidRPr="00EB7886">
              <w:br/>
            </w:r>
            <w:r w:rsidR="00FC407F" w:rsidRPr="00EB7886">
              <w:rPr>
                <w:b/>
              </w:rPr>
              <w:t>Member</w:t>
            </w:r>
          </w:p>
        </w:tc>
        <w:tc>
          <w:tcPr>
            <w:tcW w:w="2908" w:type="dxa"/>
          </w:tcPr>
          <w:p w:rsidR="00FC407F" w:rsidRPr="00EB7886" w:rsidRDefault="00FC407F"/>
        </w:tc>
        <w:tc>
          <w:tcPr>
            <w:tcW w:w="3113" w:type="dxa"/>
          </w:tcPr>
          <w:p w:rsidR="00FC407F" w:rsidRPr="00EB7886" w:rsidRDefault="00FC407F">
            <w:pPr>
              <w:rPr>
                <w:b/>
              </w:rPr>
            </w:pPr>
          </w:p>
          <w:p w:rsidR="00FC407F" w:rsidRPr="00EB7886" w:rsidRDefault="00FC407F">
            <w:pPr>
              <w:rPr>
                <w:b/>
              </w:rPr>
            </w:pPr>
          </w:p>
        </w:tc>
      </w:tr>
    </w:tbl>
    <w:p w:rsidR="00FC407F" w:rsidRPr="00EB7886" w:rsidRDefault="00D672FF" w:rsidP="00EB7886">
      <w:pPr>
        <w:pStyle w:val="Para1"/>
        <w:numPr>
          <w:ilvl w:val="0"/>
          <w:numId w:val="0"/>
        </w:numPr>
        <w:spacing w:after="240"/>
        <w:ind w:left="567" w:right="-493"/>
        <w:jc w:val="center"/>
        <w:rPr>
          <w:rFonts w:ascii="Arial" w:hAnsi="Arial" w:cs="Arial"/>
          <w:b/>
          <w:sz w:val="24"/>
          <w:szCs w:val="24"/>
        </w:rPr>
      </w:pPr>
      <w:r>
        <w:rPr>
          <w:rFonts w:ascii="Arial" w:hAnsi="Arial" w:cs="Arial"/>
          <w:b/>
          <w:noProof/>
          <w:sz w:val="24"/>
          <w:szCs w:val="24"/>
        </w:rPr>
        <w:lastRenderedPageBreak/>
        <w:pict>
          <v:shape id="VCAT Seal2" o:spid="_x0000_s1028" type="#_x0000_t75" style="position:absolute;left:0;text-align:left;margin-left:490.35pt;margin-top:734.15pt;width:83.1pt;height:83.1pt;z-index:-251657216;mso-position-horizontal:absolute;mso-position-horizontal-relative:page;mso-position-vertical:absolute;mso-position-vertical-relative:page">
            <v:imagedata r:id="rId8" o:title="seal_black_text"/>
            <w10:wrap anchorx="page" anchory="page"/>
            <w10:anchorlock/>
          </v:shape>
        </w:pict>
      </w:r>
      <w:r w:rsidR="00FC407F" w:rsidRPr="00EB7886">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RPr="00EB7886" w:rsidTr="001B2259">
        <w:tblPrEx>
          <w:tblCellMar>
            <w:top w:w="0" w:type="dxa"/>
            <w:bottom w:w="0" w:type="dxa"/>
          </w:tblCellMar>
        </w:tblPrEx>
        <w:trPr>
          <w:cantSplit/>
        </w:trPr>
        <w:tc>
          <w:tcPr>
            <w:tcW w:w="3369" w:type="dxa"/>
          </w:tcPr>
          <w:p w:rsidR="00FC407F" w:rsidRPr="00EB7886" w:rsidRDefault="00FC407F">
            <w:pPr>
              <w:pStyle w:val="TitlePagetext"/>
              <w:ind w:right="-131"/>
            </w:pPr>
            <w:r w:rsidRPr="00EB7886">
              <w:t>For Applicant</w:t>
            </w:r>
          </w:p>
        </w:tc>
        <w:tc>
          <w:tcPr>
            <w:tcW w:w="5739" w:type="dxa"/>
          </w:tcPr>
          <w:p w:rsidR="00FC407F" w:rsidRPr="00EB7886" w:rsidRDefault="00EA227C" w:rsidP="00795144">
            <w:pPr>
              <w:pStyle w:val="TitlePagetext"/>
            </w:pPr>
            <w:r>
              <w:t>Stephen O’Brien</w:t>
            </w:r>
            <w:r w:rsidR="00795144">
              <w:t>, town planner</w:t>
            </w:r>
            <w:r w:rsidR="00795144">
              <w:br/>
            </w:r>
          </w:p>
        </w:tc>
      </w:tr>
      <w:tr w:rsidR="00FC407F" w:rsidRPr="00EB7886" w:rsidTr="001B2259">
        <w:tblPrEx>
          <w:tblCellMar>
            <w:top w:w="0" w:type="dxa"/>
            <w:bottom w:w="0" w:type="dxa"/>
          </w:tblCellMar>
        </w:tblPrEx>
        <w:trPr>
          <w:cantSplit/>
        </w:trPr>
        <w:tc>
          <w:tcPr>
            <w:tcW w:w="3369" w:type="dxa"/>
          </w:tcPr>
          <w:p w:rsidR="00FC407F" w:rsidRPr="00EB7886" w:rsidRDefault="00FC407F">
            <w:pPr>
              <w:pStyle w:val="TitlePagetext"/>
              <w:ind w:right="-131"/>
            </w:pPr>
            <w:r w:rsidRPr="00EB7886">
              <w:t>For Responsible Authority</w:t>
            </w:r>
          </w:p>
        </w:tc>
        <w:tc>
          <w:tcPr>
            <w:tcW w:w="5739" w:type="dxa"/>
          </w:tcPr>
          <w:p w:rsidR="00FC407F" w:rsidRPr="00EB7886" w:rsidRDefault="00795144" w:rsidP="00795144">
            <w:pPr>
              <w:pStyle w:val="TitlePagetext"/>
            </w:pPr>
            <w:r>
              <w:t>Sally Moser, town planner</w:t>
            </w:r>
            <w:r>
              <w:br/>
            </w:r>
          </w:p>
        </w:tc>
      </w:tr>
      <w:tr w:rsidR="00FC407F" w:rsidRPr="00EB7886" w:rsidTr="001B2259">
        <w:tblPrEx>
          <w:tblCellMar>
            <w:top w:w="0" w:type="dxa"/>
            <w:bottom w:w="0" w:type="dxa"/>
          </w:tblCellMar>
        </w:tblPrEx>
        <w:trPr>
          <w:cantSplit/>
        </w:trPr>
        <w:tc>
          <w:tcPr>
            <w:tcW w:w="3369" w:type="dxa"/>
          </w:tcPr>
          <w:p w:rsidR="00FC407F" w:rsidRPr="00EB7886" w:rsidRDefault="00FC407F">
            <w:pPr>
              <w:pStyle w:val="TitlePagetext"/>
              <w:ind w:right="-131"/>
            </w:pPr>
            <w:r w:rsidRPr="00EB7886">
              <w:t xml:space="preserve">For Respondent </w:t>
            </w:r>
          </w:p>
        </w:tc>
        <w:tc>
          <w:tcPr>
            <w:tcW w:w="5739" w:type="dxa"/>
          </w:tcPr>
          <w:p w:rsidR="00FC407F" w:rsidRPr="00EB7886" w:rsidRDefault="00EA227C">
            <w:pPr>
              <w:pStyle w:val="TitlePagetext"/>
            </w:pPr>
            <w:r>
              <w:t>Alastair Woodard</w:t>
            </w:r>
            <w:r w:rsidR="00795144">
              <w:t>, in person</w:t>
            </w:r>
          </w:p>
          <w:p w:rsidR="00FC407F" w:rsidRPr="00EB7886" w:rsidRDefault="00FC407F" w:rsidP="00FB799B">
            <w:pPr>
              <w:pStyle w:val="TitlePagetext"/>
            </w:pPr>
          </w:p>
        </w:tc>
      </w:tr>
    </w:tbl>
    <w:p w:rsidR="00FC407F" w:rsidRPr="00EB7886" w:rsidRDefault="00FC407F">
      <w:pPr>
        <w:pStyle w:val="Heading1"/>
        <w:ind w:right="-491"/>
      </w:pPr>
    </w:p>
    <w:p w:rsidR="00FC407F" w:rsidRPr="00EB7886" w:rsidRDefault="00FC407F" w:rsidP="00F45F94">
      <w:pPr>
        <w:pStyle w:val="Heading1"/>
        <w:spacing w:after="240"/>
        <w:ind w:right="-493"/>
      </w:pPr>
      <w:r w:rsidRPr="00EB7886">
        <w:t>INFORMATION</w:t>
      </w:r>
    </w:p>
    <w:tbl>
      <w:tblPr>
        <w:tblW w:w="9108" w:type="dxa"/>
        <w:tblLayout w:type="fixed"/>
        <w:tblLook w:val="0000" w:firstRow="0" w:lastRow="0" w:firstColumn="0" w:lastColumn="0" w:noHBand="0" w:noVBand="0"/>
      </w:tblPr>
      <w:tblGrid>
        <w:gridCol w:w="3168"/>
        <w:gridCol w:w="5940"/>
      </w:tblGrid>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Description of Proposal</w:t>
            </w:r>
          </w:p>
        </w:tc>
        <w:tc>
          <w:tcPr>
            <w:tcW w:w="5940" w:type="dxa"/>
          </w:tcPr>
          <w:p w:rsidR="00FC407F" w:rsidRPr="00EB7886" w:rsidRDefault="00795144">
            <w:pPr>
              <w:pStyle w:val="TitlePagetext"/>
            </w:pPr>
            <w:r>
              <w:t>It is proposed to construct two, double storey dwellings</w:t>
            </w:r>
            <w:r w:rsidR="003B3DB4">
              <w:t xml:space="preserve"> (with a basement) in a one-behind-the-other layout</w:t>
            </w:r>
            <w:r>
              <w:t>.</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Nature of Proceeding</w:t>
            </w:r>
          </w:p>
        </w:tc>
        <w:tc>
          <w:tcPr>
            <w:tcW w:w="5940" w:type="dxa"/>
          </w:tcPr>
          <w:p w:rsidR="00FC407F" w:rsidRPr="00EB7886" w:rsidRDefault="00FC407F" w:rsidP="00795144">
            <w:pPr>
              <w:pStyle w:val="TitlePagetext"/>
            </w:pPr>
            <w:r w:rsidRPr="00EB7886">
              <w:t xml:space="preserve">Application under Section 77 of the </w:t>
            </w:r>
            <w:r w:rsidRPr="00EB7886">
              <w:rPr>
                <w:i/>
              </w:rPr>
              <w:t xml:space="preserve">Planning and Environment Act </w:t>
            </w:r>
            <w:r w:rsidRPr="00EB7886">
              <w:t xml:space="preserve">1987 – to review the refusal to grant a permit. </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Zone and Overlays</w:t>
            </w:r>
          </w:p>
        </w:tc>
        <w:tc>
          <w:tcPr>
            <w:tcW w:w="5940" w:type="dxa"/>
          </w:tcPr>
          <w:p w:rsidR="00FC407F" w:rsidRPr="00EB7886" w:rsidRDefault="00795144">
            <w:pPr>
              <w:pStyle w:val="TitlePagetext"/>
            </w:pPr>
            <w:r>
              <w:t>Clause 32.08 – General Residential Zone, Schedule 2 (Monash Residential Areas)</w:t>
            </w:r>
            <w:r w:rsidR="00E96AED">
              <w:t>.</w:t>
            </w:r>
            <w:r w:rsidR="009D7571">
              <w:br/>
            </w:r>
            <w:r w:rsidR="00E96AED">
              <w:t xml:space="preserve">Clause </w:t>
            </w:r>
            <w:r w:rsidR="00C175F7">
              <w:t xml:space="preserve">42.02 </w:t>
            </w:r>
            <w:r w:rsidR="00E96AED">
              <w:t>– Vegetation Protection Overlay, Schedule 1.</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Permit Requirements</w:t>
            </w:r>
          </w:p>
        </w:tc>
        <w:tc>
          <w:tcPr>
            <w:tcW w:w="5940" w:type="dxa"/>
          </w:tcPr>
          <w:p w:rsidR="00FC407F" w:rsidRPr="00EB7886" w:rsidRDefault="00795144">
            <w:pPr>
              <w:pStyle w:val="TitlePagetext"/>
            </w:pPr>
            <w:r>
              <w:t>Clause 32.08-</w:t>
            </w:r>
            <w:r w:rsidR="00C175F7">
              <w:t>6</w:t>
            </w:r>
            <w:r>
              <w:t xml:space="preserve"> – Construct two or more dwellings on a lot</w:t>
            </w:r>
            <w:r w:rsidR="00C175F7">
              <w:t>.</w:t>
            </w:r>
            <w:r w:rsidR="00C175F7">
              <w:br/>
              <w:t>There are no permit triggers under the Vegetation Protection Overlay provisions.</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Relevant Scheme, policies and provisions</w:t>
            </w:r>
          </w:p>
        </w:tc>
        <w:tc>
          <w:tcPr>
            <w:tcW w:w="5940" w:type="dxa"/>
          </w:tcPr>
          <w:p w:rsidR="00FC407F" w:rsidRPr="00EB7886" w:rsidRDefault="00795144">
            <w:pPr>
              <w:pStyle w:val="TitlePagetext"/>
            </w:pPr>
            <w:r>
              <w:t>Includes Clauses 11, 15, 16, 21.04, 22.01, 22.05, 32.08, 52.06, 55</w:t>
            </w:r>
            <w:r w:rsidR="00C175F7">
              <w:t xml:space="preserve">, </w:t>
            </w:r>
            <w:r>
              <w:t>65</w:t>
            </w:r>
            <w:r w:rsidR="00C175F7">
              <w:t xml:space="preserve"> and 71.02.</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Land Description</w:t>
            </w:r>
          </w:p>
        </w:tc>
        <w:tc>
          <w:tcPr>
            <w:tcW w:w="5940" w:type="dxa"/>
          </w:tcPr>
          <w:p w:rsidR="00FC407F" w:rsidRPr="00EB7886" w:rsidRDefault="00795144" w:rsidP="009D7571">
            <w:pPr>
              <w:pStyle w:val="TitlePagetext"/>
            </w:pPr>
            <w:r>
              <w:t xml:space="preserve">The subject site is located on the </w:t>
            </w:r>
            <w:r w:rsidR="00C175F7">
              <w:t>north</w:t>
            </w:r>
            <w:r>
              <w:t xml:space="preserve">ern side of </w:t>
            </w:r>
            <w:r w:rsidR="00C175F7">
              <w:t>Armstrong Street</w:t>
            </w:r>
            <w:r>
              <w:t>, in an established residential area.  The subject site is rectangular in shape, with a frontage of 17.</w:t>
            </w:r>
            <w:r w:rsidR="00C175F7">
              <w:t>68</w:t>
            </w:r>
            <w:r>
              <w:t xml:space="preserve"> metres</w:t>
            </w:r>
            <w:r w:rsidR="00C175F7">
              <w:t>, a depth of 45.72 metres</w:t>
            </w:r>
            <w:r>
              <w:t xml:space="preserve"> and </w:t>
            </w:r>
            <w:r w:rsidR="00C175F7">
              <w:t>a</w:t>
            </w:r>
            <w:r>
              <w:t xml:space="preserve"> site area of 8</w:t>
            </w:r>
            <w:r w:rsidR="00C175F7">
              <w:t>08</w:t>
            </w:r>
            <w:r>
              <w:t>m</w:t>
            </w:r>
            <w:r w:rsidRPr="00795144">
              <w:rPr>
                <w:vertAlign w:val="superscript"/>
              </w:rPr>
              <w:t>2</w:t>
            </w:r>
            <w:r>
              <w:t xml:space="preserve">.  The subject site is currently developed with a single dwelling.  </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Tribunal Inspection</w:t>
            </w:r>
          </w:p>
        </w:tc>
        <w:tc>
          <w:tcPr>
            <w:tcW w:w="5940" w:type="dxa"/>
          </w:tcPr>
          <w:p w:rsidR="00FC407F" w:rsidRPr="00EB7886" w:rsidRDefault="00C175F7">
            <w:pPr>
              <w:pStyle w:val="TitlePagetext"/>
            </w:pPr>
            <w:r>
              <w:t>3 April 2019</w:t>
            </w:r>
          </w:p>
        </w:tc>
      </w:tr>
    </w:tbl>
    <w:p w:rsidR="00FC407F" w:rsidRPr="00EB7886" w:rsidRDefault="00FC407F">
      <w:pPr>
        <w:pStyle w:val="Heading1"/>
        <w:spacing w:before="120"/>
      </w:pPr>
      <w:r w:rsidRPr="00EB7886">
        <w:br w:type="page"/>
      </w:r>
      <w:r w:rsidR="00D672FF">
        <w:rPr>
          <w:noProof/>
        </w:rPr>
        <w:lastRenderedPageBreak/>
        <w:pict>
          <v:shape id="VCAT Seal3" o:spid="_x0000_s1029" type="#_x0000_t75" style="position:absolute;left:0;text-align:left;margin-left:490.35pt;margin-top:734.15pt;width:83.1pt;height:83.1pt;z-index:-251656192;mso-position-horizontal:absolute;mso-position-horizontal-relative:page;mso-position-vertical:absolute;mso-position-vertical-relative:page">
            <v:imagedata r:id="rId8" o:title="seal_black_text"/>
            <w10:wrap anchorx="page" anchory="page"/>
            <w10:anchorlock/>
          </v:shape>
        </w:pict>
      </w:r>
      <w:r w:rsidRPr="00EB7886">
        <w:t>REASONS</w:t>
      </w:r>
      <w:r w:rsidRPr="00EB7886">
        <w:rPr>
          <w:rStyle w:val="FootnoteReference"/>
        </w:rPr>
        <w:footnoteReference w:id="1"/>
      </w:r>
    </w:p>
    <w:p w:rsidR="00FC407F" w:rsidRPr="00EB7886" w:rsidRDefault="00FC407F">
      <w:pPr>
        <w:pStyle w:val="Heading2"/>
        <w:rPr>
          <w:caps w:val="0"/>
        </w:rPr>
      </w:pPr>
      <w:r w:rsidRPr="00EB7886">
        <w:rPr>
          <w:caps w:val="0"/>
        </w:rPr>
        <w:t>What is this proceeding about?</w:t>
      </w:r>
    </w:p>
    <w:p w:rsidR="00211344" w:rsidRPr="00EB7886" w:rsidRDefault="00B37EAE" w:rsidP="00211344">
      <w:pPr>
        <w:pStyle w:val="Para1"/>
      </w:pPr>
      <w:r>
        <w:t xml:space="preserve">The Monash City Council issued a Notice of Decision to Refuse to Grant a Permit for the proposed development in </w:t>
      </w:r>
      <w:r w:rsidR="003658B2">
        <w:t>July 2018</w:t>
      </w:r>
      <w:r>
        <w:t xml:space="preserve">.  The permit applicant is seeking a review of this decision by the Tribunal.  Mr </w:t>
      </w:r>
      <w:r w:rsidR="003658B2">
        <w:t>Woodard</w:t>
      </w:r>
      <w:r>
        <w:t xml:space="preserve">, who resides at no. </w:t>
      </w:r>
      <w:r w:rsidR="003658B2">
        <w:t>14 The Close</w:t>
      </w:r>
      <w:r>
        <w:t>, opposes the proposal and is also a party to this proceeding</w:t>
      </w:r>
      <w:r w:rsidR="009D7571">
        <w:t xml:space="preserve">.  </w:t>
      </w:r>
      <w:r w:rsidR="003658B2">
        <w:t>Two non-party</w:t>
      </w:r>
      <w:r w:rsidR="009D7571">
        <w:t xml:space="preserve"> statements of grounds were </w:t>
      </w:r>
      <w:r w:rsidR="003658B2">
        <w:t xml:space="preserve">also </w:t>
      </w:r>
      <w:r w:rsidR="009D7571">
        <w:t>lodged with the Tribunal.</w:t>
      </w:r>
    </w:p>
    <w:p w:rsidR="00E33A89" w:rsidRDefault="00211344" w:rsidP="007D465E">
      <w:pPr>
        <w:pStyle w:val="Para1"/>
      </w:pPr>
      <w:r w:rsidRPr="00EB7886">
        <w:t>Based on the hearing process and all the relevant associated documentation, I consider that the ke</w:t>
      </w:r>
      <w:r w:rsidR="009D7571">
        <w:t>y issue</w:t>
      </w:r>
      <w:r w:rsidRPr="00EB7886">
        <w:t xml:space="preserve"> relate</w:t>
      </w:r>
      <w:r w:rsidR="009D7571">
        <w:t>s</w:t>
      </w:r>
      <w:r w:rsidRPr="00EB7886">
        <w:t xml:space="preserve"> to the intensity of the development in respect of its impact on the neighbourhood character of the area.  </w:t>
      </w:r>
    </w:p>
    <w:p w:rsidR="00211344" w:rsidRPr="00EB7886" w:rsidRDefault="00211344" w:rsidP="007D465E">
      <w:pPr>
        <w:pStyle w:val="Para1"/>
      </w:pPr>
      <w:r w:rsidRPr="00EB7886">
        <w:t>The Tribunal must decide whether a permit should be granted and, if so, what conditions should be applied.  Having considered all submissions</w:t>
      </w:r>
      <w:r w:rsidR="00951A71" w:rsidRPr="00EB7886">
        <w:t xml:space="preserve">, together with the </w:t>
      </w:r>
      <w:r w:rsidRPr="00EB7886">
        <w:t xml:space="preserve">applicable policies and provisions of the </w:t>
      </w:r>
      <w:r w:rsidR="00B37EAE">
        <w:t xml:space="preserve">Monash </w:t>
      </w:r>
      <w:r w:rsidRPr="00EB7886">
        <w:t xml:space="preserve">Planning Scheme, I have decided to </w:t>
      </w:r>
      <w:r w:rsidR="003658B2">
        <w:t>affirm</w:t>
      </w:r>
      <w:r w:rsidRPr="00EB7886">
        <w:t xml:space="preserve"> the decision of the Responsible Authority.  My reasons follow.</w:t>
      </w:r>
    </w:p>
    <w:p w:rsidR="00FC407F" w:rsidRPr="00EB7886" w:rsidRDefault="00B37EAE">
      <w:pPr>
        <w:pStyle w:val="Heading2"/>
        <w:rPr>
          <w:caps w:val="0"/>
        </w:rPr>
      </w:pPr>
      <w:r>
        <w:rPr>
          <w:caps w:val="0"/>
        </w:rPr>
        <w:t>Is the proposal respectful of neighbourhood character</w:t>
      </w:r>
      <w:r w:rsidR="00FC407F" w:rsidRPr="00EB7886">
        <w:rPr>
          <w:caps w:val="0"/>
        </w:rPr>
        <w:t>?</w:t>
      </w:r>
    </w:p>
    <w:p w:rsidR="00E33A89" w:rsidRDefault="00E67A62">
      <w:pPr>
        <w:pStyle w:val="Para1"/>
      </w:pPr>
      <w:r>
        <w:t xml:space="preserve">Mr O’Brien </w:t>
      </w:r>
      <w:r w:rsidR="00E33A89">
        <w:t>submitted that the proposal is an acceptable planning outcome</w:t>
      </w:r>
      <w:r w:rsidR="00B37EAE">
        <w:t xml:space="preserve"> </w:t>
      </w:r>
      <w:r w:rsidR="00E33A89">
        <w:t xml:space="preserve">and is </w:t>
      </w:r>
      <w:r w:rsidR="00B37EAE">
        <w:t xml:space="preserve">respectful of the </w:t>
      </w:r>
      <w:r w:rsidR="00836954">
        <w:t xml:space="preserve">existing and preferred garden city </w:t>
      </w:r>
      <w:r w:rsidR="00B37EAE">
        <w:t>neighbourhood character of the area</w:t>
      </w:r>
      <w:r w:rsidR="00E33A89">
        <w:t xml:space="preserve"> for the following key reasons:</w:t>
      </w:r>
    </w:p>
    <w:p w:rsidR="00E33A89" w:rsidRDefault="00B01C5F" w:rsidP="00B01C5F">
      <w:pPr>
        <w:pStyle w:val="Para1"/>
        <w:numPr>
          <w:ilvl w:val="0"/>
          <w:numId w:val="20"/>
        </w:numPr>
      </w:pPr>
      <w:r>
        <w:tab/>
      </w:r>
      <w:r w:rsidR="00E33A89">
        <w:t xml:space="preserve">The existing character of the area </w:t>
      </w:r>
      <w:r w:rsidR="00596287">
        <w:t>features</w:t>
      </w:r>
      <w:r w:rsidR="00E33A89">
        <w:t xml:space="preserve"> robust</w:t>
      </w:r>
      <w:r w:rsidR="00F871A4">
        <w:t>, large</w:t>
      </w:r>
      <w:r w:rsidR="00596287">
        <w:t>r</w:t>
      </w:r>
      <w:r w:rsidR="00F871A4">
        <w:t xml:space="preserve"> </w:t>
      </w:r>
      <w:r w:rsidR="00E33A89">
        <w:t xml:space="preserve">two storey </w:t>
      </w:r>
      <w:r w:rsidR="00596287">
        <w:t xml:space="preserve">high </w:t>
      </w:r>
      <w:r w:rsidR="00E33A89">
        <w:t xml:space="preserve">buildings, </w:t>
      </w:r>
      <w:r w:rsidR="00F871A4">
        <w:t>and includes</w:t>
      </w:r>
      <w:r w:rsidR="00E33A89">
        <w:t xml:space="preserve"> medium density housing.</w:t>
      </w:r>
    </w:p>
    <w:p w:rsidR="00FE441E" w:rsidRDefault="00B01C5F" w:rsidP="00B01C5F">
      <w:pPr>
        <w:pStyle w:val="Para1"/>
        <w:numPr>
          <w:ilvl w:val="0"/>
          <w:numId w:val="20"/>
        </w:numPr>
      </w:pPr>
      <w:r>
        <w:tab/>
      </w:r>
      <w:r w:rsidR="00FE441E">
        <w:t xml:space="preserve">The existing character of the area does not feature a linear backyardscape </w:t>
      </w:r>
      <w:r w:rsidR="00D458E0">
        <w:t>‘as there is a wide variation in building forms at the rear of sites’</w:t>
      </w:r>
      <w:r w:rsidR="00596287">
        <w:t>.</w:t>
      </w:r>
    </w:p>
    <w:p w:rsidR="00E33A89" w:rsidRDefault="00B01C5F" w:rsidP="00B01C5F">
      <w:pPr>
        <w:pStyle w:val="Para1"/>
        <w:numPr>
          <w:ilvl w:val="0"/>
          <w:numId w:val="20"/>
        </w:numPr>
      </w:pPr>
      <w:r>
        <w:tab/>
      </w:r>
      <w:r w:rsidR="00E33A89">
        <w:t xml:space="preserve">The proposed one-behind-the-other layout allows for the preferred single crossover to the street, </w:t>
      </w:r>
      <w:r w:rsidR="00A41535">
        <w:t>the desired</w:t>
      </w:r>
      <w:r w:rsidR="00F871A4">
        <w:t xml:space="preserve"> absence of</w:t>
      </w:r>
      <w:r w:rsidR="00E33A89">
        <w:t xml:space="preserve"> garaging direct</w:t>
      </w:r>
      <w:r w:rsidR="00F871A4">
        <w:t>ly fronting the</w:t>
      </w:r>
      <w:r w:rsidR="00E33A89">
        <w:t xml:space="preserve"> street</w:t>
      </w:r>
      <w:r w:rsidR="00A41535">
        <w:t xml:space="preserve"> and a well landscaped front garden.</w:t>
      </w:r>
    </w:p>
    <w:p w:rsidR="00F871A4" w:rsidRDefault="00B01C5F" w:rsidP="00B01C5F">
      <w:pPr>
        <w:pStyle w:val="Para1"/>
        <w:numPr>
          <w:ilvl w:val="0"/>
          <w:numId w:val="20"/>
        </w:numPr>
      </w:pPr>
      <w:r>
        <w:tab/>
      </w:r>
      <w:r w:rsidR="00D458E0">
        <w:t xml:space="preserve">The proposal was modified to accord </w:t>
      </w:r>
      <w:r w:rsidR="00F871A4">
        <w:t xml:space="preserve">with the </w:t>
      </w:r>
      <w:r w:rsidR="00D458E0">
        <w:t xml:space="preserve">advice provided in the </w:t>
      </w:r>
      <w:r w:rsidR="00F871A4">
        <w:t xml:space="preserve">urban design report </w:t>
      </w:r>
      <w:r w:rsidR="00D458E0">
        <w:t>prepared by</w:t>
      </w:r>
      <w:r w:rsidR="00F871A4">
        <w:t xml:space="preserve"> Larry Parsons.</w:t>
      </w:r>
      <w:r w:rsidR="00D458E0">
        <w:t xml:space="preserve">  This includes a reduction in the mass of proposed Dwelling 1 to provide an eight metres upper level building separation between the upper level forms of the dwellings.</w:t>
      </w:r>
    </w:p>
    <w:p w:rsidR="00A1590E" w:rsidRDefault="00FB180C" w:rsidP="0008012D">
      <w:pPr>
        <w:pStyle w:val="Para1"/>
      </w:pPr>
      <w:r>
        <w:t xml:space="preserve">Because the proposal meets the quantitative standards contained in the General Residential Zone and Clause 55 of the planning scheme, my </w:t>
      </w:r>
      <w:r w:rsidR="00D672FF">
        <w:rPr>
          <w:noProof/>
        </w:rPr>
        <w:lastRenderedPageBreak/>
        <w:pict>
          <v:shape id="VCAT Seal4" o:spid="_x0000_s1030" type="#_x0000_t75" style="position:absolute;left:0;text-align:left;margin-left:490.35pt;margin-top:734.15pt;width:83.1pt;height:83.1pt;z-index:-251655168;mso-position-horizontal:absolute;mso-position-horizontal-relative:page;mso-position-vertical:absolute;mso-position-vertical-relative:page">
            <v:imagedata r:id="rId8" o:title="seal_black_text"/>
            <w10:wrap anchorx="page" anchory="page"/>
            <w10:anchorlock/>
          </v:shape>
        </w:pict>
      </w:r>
      <w:r>
        <w:t>decision comes down to a judgement-call regarding the subjective</w:t>
      </w:r>
      <w:r w:rsidR="00E00F02">
        <w:t>,</w:t>
      </w:r>
      <w:r w:rsidR="003415FF">
        <w:t xml:space="preserve"> neighbourhood character related</w:t>
      </w:r>
      <w:r>
        <w:t xml:space="preserve"> Clause 55 objectives.</w:t>
      </w:r>
    </w:p>
    <w:p w:rsidR="002D1C33" w:rsidRDefault="002D1C33" w:rsidP="002D1C33">
      <w:pPr>
        <w:pStyle w:val="Para1"/>
      </w:pPr>
      <w:r>
        <w:t xml:space="preserve">Ultimately, </w:t>
      </w:r>
      <w:r>
        <w:t>I find that the built form intensity of the proposal is such that it has not met the mandatory objectives at Clause</w:t>
      </w:r>
      <w:r w:rsidR="00AE254B">
        <w:t>s</w:t>
      </w:r>
      <w:r>
        <w:t xml:space="preserve"> 55.02-1 </w:t>
      </w:r>
      <w:r w:rsidR="00683A1F">
        <w:t xml:space="preserve">and 55.04-1 </w:t>
      </w:r>
      <w:r>
        <w:t xml:space="preserve">of the planning scheme. </w:t>
      </w:r>
    </w:p>
    <w:p w:rsidR="00683A1F" w:rsidRDefault="00683A1F" w:rsidP="00683A1F">
      <w:pPr>
        <w:pStyle w:val="Para1"/>
      </w:pPr>
      <w:r>
        <w:t>Clause 55.02</w:t>
      </w:r>
      <w:r>
        <w:t>-1</w:t>
      </w:r>
      <w:r>
        <w:t xml:space="preserve"> of the planning scheme has the following objectives </w:t>
      </w:r>
      <w:r w:rsidR="003415FF">
        <w:t xml:space="preserve">and </w:t>
      </w:r>
      <w:r>
        <w:t>standards.</w:t>
      </w:r>
    </w:p>
    <w:p w:rsidR="00683A1F" w:rsidRDefault="00683A1F" w:rsidP="00683A1F">
      <w:pPr>
        <w:pStyle w:val="Quote1"/>
        <w:rPr>
          <w:lang w:eastAsia="en-AU"/>
        </w:rPr>
      </w:pPr>
      <w:r>
        <w:rPr>
          <w:lang w:eastAsia="en-AU"/>
        </w:rPr>
        <w:t>To ensure that the design respects the existing neighbourhood character or contributes to a preferred neighbourhood character.  [Objective]</w:t>
      </w:r>
    </w:p>
    <w:p w:rsidR="00683A1F" w:rsidRDefault="00683A1F" w:rsidP="00683A1F">
      <w:pPr>
        <w:pStyle w:val="Quote1"/>
        <w:rPr>
          <w:lang w:eastAsia="en-AU"/>
        </w:rPr>
      </w:pPr>
      <w:r>
        <w:rPr>
          <w:lang w:eastAsia="en-AU"/>
        </w:rPr>
        <w:t>To ensure that development responds to the features of the site and the surrounding area.  [Objective]</w:t>
      </w:r>
    </w:p>
    <w:p w:rsidR="00683A1F" w:rsidRDefault="00683A1F" w:rsidP="00683A1F">
      <w:pPr>
        <w:pStyle w:val="Quote1"/>
        <w:rPr>
          <w:lang w:eastAsia="en-AU"/>
        </w:rPr>
      </w:pPr>
      <w:r>
        <w:rPr>
          <w:lang w:eastAsia="en-AU"/>
        </w:rPr>
        <w:t>The design response must be appropriate to the neighbourhood and the site.  [Standard B1]</w:t>
      </w:r>
    </w:p>
    <w:p w:rsidR="00683A1F" w:rsidRDefault="00683A1F" w:rsidP="00683A1F">
      <w:pPr>
        <w:pStyle w:val="Quote1"/>
        <w:rPr>
          <w:lang w:eastAsia="en-AU"/>
        </w:rPr>
      </w:pPr>
      <w:r>
        <w:rPr>
          <w:lang w:eastAsia="en-AU"/>
        </w:rPr>
        <w:t>The proposed design must respect the existing or preferred neighbourhood character and respond to the features of the site.  [Standard B1]</w:t>
      </w:r>
    </w:p>
    <w:p w:rsidR="00847F74" w:rsidRPr="008C5F69" w:rsidRDefault="003415FF" w:rsidP="00847F74">
      <w:pPr>
        <w:pStyle w:val="Para1"/>
      </w:pPr>
      <w:r>
        <w:t>Further</w:t>
      </w:r>
      <w:r w:rsidR="00847F74" w:rsidRPr="008C5F69">
        <w:t xml:space="preserve"> direction regarding neighbourhood character outcomes is provided at Clause 22.01 (Residential Development and Character Policy) of the planning scheme.  The </w:t>
      </w:r>
      <w:r w:rsidR="003E02DB">
        <w:t>municipal-wide</w:t>
      </w:r>
      <w:r w:rsidR="00847F74" w:rsidRPr="008C5F69">
        <w:t xml:space="preserve"> policies which I consider are the key policy statements relevant to </w:t>
      </w:r>
      <w:r w:rsidR="00847F74">
        <w:t xml:space="preserve">the </w:t>
      </w:r>
      <w:r w:rsidR="00683A1F">
        <w:t xml:space="preserve">shortcomings of the </w:t>
      </w:r>
      <w:r>
        <w:t>proposed design response,</w:t>
      </w:r>
      <w:r w:rsidR="00847F74">
        <w:t xml:space="preserve"> as</w:t>
      </w:r>
      <w:r w:rsidR="00847F74" w:rsidRPr="008C5F69">
        <w:t xml:space="preserve"> contained in Clause 22.01-3 are:</w:t>
      </w:r>
    </w:p>
    <w:p w:rsidR="00891474" w:rsidRDefault="00891474" w:rsidP="00847F74">
      <w:pPr>
        <w:pStyle w:val="Quote1"/>
        <w:rPr>
          <w:lang w:eastAsia="en-AU"/>
        </w:rPr>
      </w:pPr>
      <w:r>
        <w:rPr>
          <w:lang w:eastAsia="en-AU"/>
        </w:rPr>
        <w:t>Building spacings and setbacks off side boundaries maintain the spacing and rhythm of existing dwellings to respect the built form character of the streetscape.</w:t>
      </w:r>
    </w:p>
    <w:p w:rsidR="00891474" w:rsidRDefault="00891474" w:rsidP="00847F74">
      <w:pPr>
        <w:pStyle w:val="Quote1"/>
        <w:rPr>
          <w:lang w:eastAsia="en-AU"/>
        </w:rPr>
      </w:pPr>
      <w:r>
        <w:rPr>
          <w:lang w:eastAsia="en-AU"/>
        </w:rPr>
        <w:t xml:space="preserve">A high degree of </w:t>
      </w:r>
      <w:r w:rsidR="003E02DB">
        <w:rPr>
          <w:lang w:eastAsia="en-AU"/>
        </w:rPr>
        <w:t>articulation</w:t>
      </w:r>
      <w:r>
        <w:rPr>
          <w:lang w:eastAsia="en-AU"/>
        </w:rPr>
        <w:t xml:space="preserve"> and detailing be exhibited.</w:t>
      </w:r>
    </w:p>
    <w:p w:rsidR="00847F74" w:rsidRPr="008C5F69" w:rsidRDefault="00847F74" w:rsidP="00847F74">
      <w:pPr>
        <w:pStyle w:val="Para1"/>
      </w:pPr>
      <w:r w:rsidRPr="008C5F69">
        <w:t xml:space="preserve">The subject site is located in </w:t>
      </w:r>
      <w:r>
        <w:t>Residential Character Type “C</w:t>
      </w:r>
      <w:r w:rsidRPr="008C5F69">
        <w:t>” pursuant to Clause 22.01</w:t>
      </w:r>
      <w:r>
        <w:t>-4 of the planning scheme</w:t>
      </w:r>
      <w:r w:rsidRPr="008C5F69">
        <w:t xml:space="preserve">.  </w:t>
      </w:r>
      <w:r>
        <w:t xml:space="preserve">It is policy that the </w:t>
      </w:r>
      <w:r w:rsidRPr="008C5F69">
        <w:t xml:space="preserve">desired future character statement </w:t>
      </w:r>
      <w:r w:rsidR="00737A35">
        <w:t xml:space="preserve">for Character Type “C” </w:t>
      </w:r>
      <w:r>
        <w:t>be considered as part of the decision-making process</w:t>
      </w:r>
      <w:r w:rsidR="00737A35">
        <w:t>.  In essence, this desired future character statement supports a one-behind-the-other layout to preserve the existing ‘garden city’ character of the streetscape.</w:t>
      </w:r>
    </w:p>
    <w:p w:rsidR="00C63C2C" w:rsidRDefault="00737A35" w:rsidP="00847F74">
      <w:pPr>
        <w:pStyle w:val="Para1"/>
      </w:pPr>
      <w:r>
        <w:t xml:space="preserve">Mr O’Brien referred to </w:t>
      </w:r>
      <w:r w:rsidR="006421CE">
        <w:t>an earlier</w:t>
      </w:r>
      <w:r>
        <w:t xml:space="preserve"> Tribunal’s description of the existing neighbourhood character </w:t>
      </w:r>
      <w:r w:rsidR="003415FF">
        <w:t xml:space="preserve">of this immediate area.  This previous Tribunal decision relates to </w:t>
      </w:r>
      <w:r>
        <w:t>the, now built, side-by-side development at no. 10 Armstrong Street.  This Tribunal decision (</w:t>
      </w:r>
      <w:r w:rsidRPr="00737A35">
        <w:rPr>
          <w:i/>
        </w:rPr>
        <w:t>Be v Monash CC</w:t>
      </w:r>
      <w:r>
        <w:t xml:space="preserve"> [2012] VCAT 919) described the neighbourhood character as including robust buildings, particularly on the north side of Armstrong Street.  I agree that </w:t>
      </w:r>
      <w:r w:rsidR="006421CE">
        <w:t xml:space="preserve">the streetscapes of </w:t>
      </w:r>
      <w:r>
        <w:t xml:space="preserve">Armstrong Street and </w:t>
      </w:r>
      <w:r w:rsidR="00C63C2C">
        <w:t>The Close include robust, visually prominent two storey high buildings and I endorse the previous Tribunal’s description of the area’s neighbourhood character.</w:t>
      </w:r>
    </w:p>
    <w:p w:rsidR="006421CE" w:rsidRDefault="00D672FF" w:rsidP="00847F74">
      <w:pPr>
        <w:pStyle w:val="Para1"/>
      </w:pPr>
      <w:r>
        <w:rPr>
          <w:noProof/>
        </w:rPr>
        <w:lastRenderedPageBreak/>
        <w:pict>
          <v:shape id="VCAT Seal5" o:spid="_x0000_s1031" type="#_x0000_t75" style="position:absolute;left:0;text-align:left;margin-left:490.35pt;margin-top:734.15pt;width:83.1pt;height:83.1pt;z-index:-251654144;mso-position-horizontal:absolute;mso-position-horizontal-relative:page;mso-position-vertical:absolute;mso-position-vertical-relative:page">
            <v:imagedata r:id="rId8" o:title="seal_black_text"/>
            <w10:wrap anchorx="page" anchory="page"/>
            <w10:anchorlock/>
          </v:shape>
        </w:pict>
      </w:r>
      <w:r w:rsidR="006421CE">
        <w:t>However, m</w:t>
      </w:r>
      <w:r w:rsidR="00C63C2C">
        <w:t xml:space="preserve">y </w:t>
      </w:r>
      <w:r w:rsidR="006421CE">
        <w:t xml:space="preserve">primary </w:t>
      </w:r>
      <w:r w:rsidR="00C63C2C">
        <w:t xml:space="preserve">concern with the design response </w:t>
      </w:r>
      <w:r w:rsidR="006421CE">
        <w:t xml:space="preserve">before me </w:t>
      </w:r>
      <w:r w:rsidR="00C63C2C">
        <w:t xml:space="preserve">relates to the siting and </w:t>
      </w:r>
      <w:r w:rsidR="003415FF">
        <w:t>massing</w:t>
      </w:r>
      <w:r w:rsidR="00C63C2C">
        <w:t xml:space="preserve"> of proposed Dwelling 2</w:t>
      </w:r>
      <w:r w:rsidR="003415FF">
        <w:t xml:space="preserve"> rather than to the proposal’s streetscape presentation</w:t>
      </w:r>
      <w:r w:rsidR="00C63C2C">
        <w:t xml:space="preserve">.  </w:t>
      </w:r>
      <w:r w:rsidR="003415FF">
        <w:t>It is also notable that</w:t>
      </w:r>
      <w:r w:rsidR="006421CE">
        <w:t xml:space="preserve"> the development at no. 10 Armstrong Street is located on the ‘low-side’ of the street, reducing its visual presence in the streetscape.  </w:t>
      </w:r>
      <w:r w:rsidR="003415FF">
        <w:t>Furthermore</w:t>
      </w:r>
      <w:r w:rsidR="002D18D8">
        <w:t>, t</w:t>
      </w:r>
      <w:r w:rsidR="006421CE">
        <w:t xml:space="preserve">he side-by-side layout of these dwellings </w:t>
      </w:r>
      <w:r w:rsidR="002D18D8">
        <w:t xml:space="preserve">mitigates their </w:t>
      </w:r>
      <w:r w:rsidR="000B1B5C">
        <w:t>impact on the</w:t>
      </w:r>
      <w:r w:rsidR="006421CE">
        <w:t xml:space="preserve"> backyard-realm.</w:t>
      </w:r>
    </w:p>
    <w:p w:rsidR="002D18D8" w:rsidRDefault="006421CE" w:rsidP="00847F74">
      <w:pPr>
        <w:pStyle w:val="Para1"/>
      </w:pPr>
      <w:r>
        <w:t>Within Armstrong Street and The Close there is only one allotment which features a dwelling sit</w:t>
      </w:r>
      <w:r w:rsidR="000B1B5C">
        <w:t>ed</w:t>
      </w:r>
      <w:r>
        <w:t xml:space="preserve"> at the rear.</w:t>
      </w:r>
      <w:r w:rsidR="002D18D8">
        <w:t xml:space="preserve">  This existing rear, double storey dwelling is a much more modest built form outcome compared to proposed Dwelling 2.</w:t>
      </w:r>
    </w:p>
    <w:p w:rsidR="00737A35" w:rsidRDefault="000B1B5C" w:rsidP="00847F74">
      <w:pPr>
        <w:pStyle w:val="Para1"/>
      </w:pPr>
      <w:r>
        <w:t>I acknowledge that there are medium density developments at the corners of Armstrong Street and St Johns Wood</w:t>
      </w:r>
      <w:r w:rsidR="002D18D8">
        <w:t xml:space="preserve"> Road</w:t>
      </w:r>
      <w:r>
        <w:t>, however, these corner sites are a very different context to a mid-block allotment such as the subject site.</w:t>
      </w:r>
      <w:r w:rsidR="002D18D8">
        <w:t xml:space="preserve">  There is also a medium density housing development immediately to the north of the subject site which extends deep into the rear of the allotment.  Importantly, these dwellings are all single storey buildings</w:t>
      </w:r>
      <w:r w:rsidR="0061185D">
        <w:t xml:space="preserve">, thus maintaining </w:t>
      </w:r>
      <w:r w:rsidR="007A7B27">
        <w:t>a sense of openness in the backyardscape</w:t>
      </w:r>
      <w:r w:rsidR="002D18D8">
        <w:t>.</w:t>
      </w:r>
      <w:r w:rsidR="007A7B27">
        <w:t xml:space="preserve">  Similarly, </w:t>
      </w:r>
      <w:r w:rsidR="0061185D">
        <w:t xml:space="preserve">the </w:t>
      </w:r>
      <w:r w:rsidR="007A7B27">
        <w:t xml:space="preserve">existing single storey outbuildings </w:t>
      </w:r>
      <w:r w:rsidR="0061185D">
        <w:t xml:space="preserve">referred to by Mr O’Brien </w:t>
      </w:r>
      <w:r w:rsidR="007A7B27">
        <w:t>do not justify the extent of the proposed upper level of Dwelling 2.</w:t>
      </w:r>
    </w:p>
    <w:p w:rsidR="002D18D8" w:rsidRDefault="002D18D8" w:rsidP="00847F74">
      <w:pPr>
        <w:pStyle w:val="Para1"/>
      </w:pPr>
      <w:r>
        <w:t xml:space="preserve">Based on the material presented to me at the hearing, and my site inspection, I find that the immediate context of the subject site does </w:t>
      </w:r>
      <w:r w:rsidR="00EE2A39">
        <w:t xml:space="preserve">indeed </w:t>
      </w:r>
      <w:r>
        <w:t xml:space="preserve">feature a neighbourhood character with </w:t>
      </w:r>
      <w:r w:rsidR="007A7B27">
        <w:t>an</w:t>
      </w:r>
      <w:r>
        <w:t xml:space="preserve"> open</w:t>
      </w:r>
      <w:r w:rsidR="007A5C3B">
        <w:t xml:space="preserve">, </w:t>
      </w:r>
      <w:r w:rsidR="007A7B27">
        <w:t>backyardscape</w:t>
      </w:r>
      <w:r w:rsidR="007A5C3B">
        <w:t xml:space="preserve"> </w:t>
      </w:r>
      <w:r w:rsidR="00EE2A39">
        <w:t>which includes</w:t>
      </w:r>
      <w:r w:rsidR="007A5C3B">
        <w:t xml:space="preserve"> a general absence of large double storey forms in the rear of sites</w:t>
      </w:r>
      <w:r w:rsidR="007A7B27">
        <w:t xml:space="preserve">.  I </w:t>
      </w:r>
      <w:r w:rsidR="00EE2A39">
        <w:t>find</w:t>
      </w:r>
      <w:r w:rsidR="007A7B27">
        <w:t xml:space="preserve"> that the built form intensity of proposed Dwelling 2 has </w:t>
      </w:r>
      <w:r w:rsidR="00EE2A39">
        <w:t>in</w:t>
      </w:r>
      <w:r w:rsidR="007A7B27">
        <w:t xml:space="preserve">sufficiently responded to this existing character.  </w:t>
      </w:r>
    </w:p>
    <w:p w:rsidR="00A97FB4" w:rsidRDefault="007A5C3B" w:rsidP="00847F74">
      <w:pPr>
        <w:pStyle w:val="Para1"/>
      </w:pPr>
      <w:r>
        <w:t xml:space="preserve">This is a challenging site as it has abuttals with two properties which front Armstrong Street, one property which fronts The Close and </w:t>
      </w:r>
      <w:r w:rsidR="00EE2A39">
        <w:t>a further</w:t>
      </w:r>
      <w:r w:rsidR="00326449">
        <w:t xml:space="preserve"> dwelling which has a St Johns Wood Road address.  </w:t>
      </w:r>
      <w:r w:rsidR="00EE2A39">
        <w:t>This means that</w:t>
      </w:r>
      <w:r w:rsidR="00326449">
        <w:t xml:space="preserve"> proposed Dwelling 2 has a direct visual impact on the secluded private open spaces and outlooks of four existing residences.  Arguably the siting and design of Dwelling 2 (including the 8 metres upper level building break between it and Dwelling 1) mitigates its visual impact when viewed from the rear secluded private open spaces of nos. 3 and 7 Armstrong Street.  However, the </w:t>
      </w:r>
      <w:r w:rsidR="0061185D">
        <w:t xml:space="preserve">other </w:t>
      </w:r>
      <w:r w:rsidR="00326449">
        <w:t>proposed setbacks</w:t>
      </w:r>
      <w:r w:rsidR="00EE2A39">
        <w:t>, particularly</w:t>
      </w:r>
      <w:r w:rsidR="00326449">
        <w:t xml:space="preserve"> from </w:t>
      </w:r>
      <w:r w:rsidR="00B53C37">
        <w:t xml:space="preserve">the western </w:t>
      </w:r>
      <w:r w:rsidR="00EE2A39">
        <w:t xml:space="preserve">side </w:t>
      </w:r>
      <w:r w:rsidR="00B53C37">
        <w:t>boundary</w:t>
      </w:r>
      <w:r w:rsidR="00EE2A39">
        <w:t>,</w:t>
      </w:r>
      <w:r w:rsidR="00B53C37">
        <w:t xml:space="preserve"> are unacceptable.</w:t>
      </w:r>
    </w:p>
    <w:p w:rsidR="00A275B7" w:rsidRDefault="00D56640" w:rsidP="00847F74">
      <w:pPr>
        <w:pStyle w:val="Para1"/>
      </w:pPr>
      <w:r>
        <w:t>The side and rear setbacks objective at Clause 55.04-1 of the planning scheme is, “</w:t>
      </w:r>
      <w:r w:rsidR="00A275B7">
        <w:t>To ensure that the height and setback of a building from a boundary respects the existing or preferred neighbourhood character and limits the impact on the amenity of existing dwellings.</w:t>
      </w:r>
      <w:r>
        <w:t xml:space="preserve">”  In this case, having regard to the applicable </w:t>
      </w:r>
      <w:r w:rsidR="0061185D">
        <w:t xml:space="preserve">Clause 55.04-1 </w:t>
      </w:r>
      <w:r>
        <w:t xml:space="preserve">decision guidelines, I find that this objective has not been met.  </w:t>
      </w:r>
    </w:p>
    <w:p w:rsidR="00D56640" w:rsidRDefault="00D56640" w:rsidP="00847F74">
      <w:pPr>
        <w:pStyle w:val="Para1"/>
      </w:pPr>
      <w:r>
        <w:t xml:space="preserve">I confirmed during my site inspection that the property at no. 14 The Close has a direct outlook from a number of ground and first floor habitable room </w:t>
      </w:r>
      <w:r w:rsidR="00D672FF">
        <w:rPr>
          <w:noProof/>
        </w:rPr>
        <w:lastRenderedPageBreak/>
        <w:pict>
          <v:shape id="VCAT Seal6" o:spid="_x0000_s1032" type="#_x0000_t75" style="position:absolute;left:0;text-align:left;margin-left:490.35pt;margin-top:734.15pt;width:83.1pt;height:83.1pt;z-index:-251653120;mso-position-horizontal:absolute;mso-position-horizontal-relative:page;mso-position-vertical:absolute;mso-position-vertical-relative:page">
            <v:imagedata r:id="rId8" o:title="seal_black_text"/>
            <w10:wrap anchorx="page" anchory="page"/>
            <w10:anchorlock/>
          </v:shape>
        </w:pict>
      </w:r>
      <w:r>
        <w:t xml:space="preserve">windows towards the rear of the subject site.  Importantly, this property also has a key area of its secluded private open space </w:t>
      </w:r>
      <w:r w:rsidR="0061185D">
        <w:t>directly</w:t>
      </w:r>
      <w:r w:rsidR="00DF62F0">
        <w:t xml:space="preserve"> interfac</w:t>
      </w:r>
      <w:r w:rsidR="0061185D">
        <w:t>ing</w:t>
      </w:r>
      <w:r w:rsidR="00DF62F0">
        <w:t xml:space="preserve"> with proposed Dwelling 2.  This secluded private open space is developed with a jacuzzi and an area for casual seating.  Currently there is an open treed aspect available from this sensitive secluded private open space area.  This aspect is consistent with the existing backyardscape </w:t>
      </w:r>
      <w:r w:rsidR="0061185D">
        <w:t xml:space="preserve">which </w:t>
      </w:r>
      <w:r w:rsidR="00DF62F0">
        <w:t>form</w:t>
      </w:r>
      <w:r w:rsidR="0061185D">
        <w:t>s</w:t>
      </w:r>
      <w:r w:rsidR="00DF62F0">
        <w:t xml:space="preserve"> part of the neighbourhood character of this immediate area.</w:t>
      </w:r>
    </w:p>
    <w:p w:rsidR="00230CA4" w:rsidRDefault="00DF62F0" w:rsidP="00847F74">
      <w:pPr>
        <w:pStyle w:val="Para1"/>
      </w:pPr>
      <w:r>
        <w:t>The proposed breadth of the ground and upper level western walls of Dwelling 2 directly interfaces with this element of the rear secluded private open space of no. 14 The Close.  The proposed ground level wall in this location is setback 1.2 metres from the shared boundary, and there is also a proposed retaining wall setback 860mm from the ground wall of Dwelling 2.  Th</w:t>
      </w:r>
      <w:r w:rsidR="0061185D">
        <w:t>ese</w:t>
      </w:r>
      <w:r>
        <w:t xml:space="preserve"> setback</w:t>
      </w:r>
      <w:r w:rsidR="0061185D">
        <w:t>s</w:t>
      </w:r>
      <w:r>
        <w:t xml:space="preserve"> mean that there is no opportunity for any landscaping along this sensitive interface resulting in direct views of the western side of Dwelling 2</w:t>
      </w:r>
      <w:r w:rsidR="0061185D">
        <w:t xml:space="preserve"> from no. 14 The Close</w:t>
      </w:r>
      <w:r>
        <w:t xml:space="preserve">.  </w:t>
      </w:r>
      <w:r w:rsidR="00230CA4">
        <w:t xml:space="preserve">This </w:t>
      </w:r>
      <w:r w:rsidR="0061185D">
        <w:t xml:space="preserve">proposed small side boundary setback </w:t>
      </w:r>
      <w:r w:rsidR="00230CA4">
        <w:t xml:space="preserve">contrasts to the </w:t>
      </w:r>
      <w:r w:rsidR="00622874">
        <w:t xml:space="preserve">modest </w:t>
      </w:r>
      <w:r w:rsidR="00230CA4">
        <w:t>rear double storey dwelling at no. 11 Armstrong Street</w:t>
      </w:r>
      <w:r w:rsidR="0061185D">
        <w:t>.  This existing dwelling has located</w:t>
      </w:r>
      <w:r w:rsidR="00230CA4">
        <w:t xml:space="preserve"> its main secluded private open space area adjacent to its western shared </w:t>
      </w:r>
      <w:r w:rsidR="0061185D">
        <w:t xml:space="preserve">side </w:t>
      </w:r>
      <w:r w:rsidR="00230CA4">
        <w:t>boundary.</w:t>
      </w:r>
    </w:p>
    <w:p w:rsidR="00E575F2" w:rsidRDefault="0061185D" w:rsidP="00847F74">
      <w:pPr>
        <w:pStyle w:val="Para1"/>
      </w:pPr>
      <w:r>
        <w:t>Critically, t</w:t>
      </w:r>
      <w:r w:rsidR="00DF62F0">
        <w:t xml:space="preserve">he whole of the upper level (an unbroken length of </w:t>
      </w:r>
      <w:r w:rsidR="00230CA4">
        <w:t>some 12.3 metres to the edge</w:t>
      </w:r>
      <w:r w:rsidR="00622874">
        <w:t>s</w:t>
      </w:r>
      <w:r w:rsidR="00230CA4">
        <w:t xml:space="preserve"> of </w:t>
      </w:r>
      <w:r w:rsidR="00622874">
        <w:t>the roof form</w:t>
      </w:r>
      <w:r w:rsidR="00230CA4">
        <w:t xml:space="preserve">) </w:t>
      </w:r>
      <w:r w:rsidR="00DF62F0">
        <w:t>o</w:t>
      </w:r>
      <w:r w:rsidR="00230CA4">
        <w:t>n</w:t>
      </w:r>
      <w:r w:rsidR="00DF62F0">
        <w:t xml:space="preserve"> the western side of proposed Dwelling 2 is setback </w:t>
      </w:r>
      <w:r w:rsidR="00230CA4">
        <w:t xml:space="preserve">only </w:t>
      </w:r>
      <w:r w:rsidR="00DF62F0">
        <w:t>1.9 metres</w:t>
      </w:r>
      <w:r w:rsidR="00230CA4">
        <w:t xml:space="preserve">.  This is unacceptable as it does not provide for </w:t>
      </w:r>
      <w:r w:rsidR="00261D82">
        <w:t xml:space="preserve">a </w:t>
      </w:r>
      <w:r w:rsidR="00230CA4">
        <w:t>high degree of articulation, nor does it respect the existing spacing and rhythm of buildings in this neighbourhood.</w:t>
      </w:r>
      <w:r w:rsidR="00622874">
        <w:t xml:space="preserve">  This aspect of the proposed design response has inappropriately responded to the secluded private open space area described above of no. 14 The Close.</w:t>
      </w:r>
    </w:p>
    <w:p w:rsidR="00DF62F0" w:rsidRPr="008C5F69" w:rsidRDefault="00622874" w:rsidP="00847F74">
      <w:pPr>
        <w:pStyle w:val="Para1"/>
      </w:pPr>
      <w:r>
        <w:t xml:space="preserve">Overall, given the particular physical context of the subject site, I consider that the </w:t>
      </w:r>
      <w:r w:rsidR="00E575F2">
        <w:t xml:space="preserve">siting, </w:t>
      </w:r>
      <w:r>
        <w:t xml:space="preserve">mass and bulk of </w:t>
      </w:r>
      <w:r w:rsidR="00E575F2">
        <w:t>proposed</w:t>
      </w:r>
      <w:r>
        <w:t xml:space="preserve"> Dwelling 2 inadequately responds to its context.</w:t>
      </w:r>
    </w:p>
    <w:p w:rsidR="00FC407F" w:rsidRPr="00EB7886" w:rsidRDefault="00FC407F">
      <w:pPr>
        <w:pStyle w:val="Heading2"/>
        <w:rPr>
          <w:caps w:val="0"/>
        </w:rPr>
      </w:pPr>
      <w:r w:rsidRPr="00EB7886">
        <w:rPr>
          <w:caps w:val="0"/>
        </w:rPr>
        <w:t>Conclusion</w:t>
      </w:r>
    </w:p>
    <w:p w:rsidR="00FC407F" w:rsidRPr="00EB7886" w:rsidRDefault="00FC407F">
      <w:pPr>
        <w:pStyle w:val="Para1"/>
      </w:pPr>
      <w:r w:rsidRPr="00EB7886">
        <w:t xml:space="preserve">For the reasons explained above, the decision of the Responsible Authority is </w:t>
      </w:r>
      <w:r w:rsidR="007A5C3B">
        <w:t>affirmed</w:t>
      </w:r>
      <w:r w:rsidRPr="00EB7886">
        <w:t xml:space="preserve">.  </w:t>
      </w:r>
      <w:r w:rsidR="007A5C3B">
        <w:t>No</w:t>
      </w:r>
      <w:r w:rsidRPr="00EB7886">
        <w:t xml:space="preserve"> permit is </w:t>
      </w:r>
      <w:r w:rsidR="007A5C3B">
        <w:t>to issue</w:t>
      </w:r>
      <w:r w:rsidRPr="00EB7886">
        <w:t>.</w:t>
      </w:r>
    </w:p>
    <w:p w:rsidR="00FC407F" w:rsidRPr="00EB7886" w:rsidRDefault="00FC407F"/>
    <w:p w:rsidR="00FC407F" w:rsidRPr="00EB7886" w:rsidRDefault="00FC407F"/>
    <w:p w:rsidR="00FC407F" w:rsidRPr="00EB7886" w:rsidRDefault="00FC407F"/>
    <w:p w:rsidR="00FC407F" w:rsidRPr="00EB7886" w:rsidRDefault="00FC407F"/>
    <w:tbl>
      <w:tblPr>
        <w:tblW w:w="0" w:type="auto"/>
        <w:tblLayout w:type="fixed"/>
        <w:tblLook w:val="0000" w:firstRow="0" w:lastRow="0" w:firstColumn="0" w:lastColumn="0" w:noHBand="0" w:noVBand="0"/>
      </w:tblPr>
      <w:tblGrid>
        <w:gridCol w:w="2907"/>
        <w:gridCol w:w="2908"/>
        <w:gridCol w:w="2906"/>
      </w:tblGrid>
      <w:tr w:rsidR="00FC407F" w:rsidRPr="00EB7886">
        <w:tblPrEx>
          <w:tblCellMar>
            <w:top w:w="0" w:type="dxa"/>
            <w:bottom w:w="0" w:type="dxa"/>
          </w:tblCellMar>
        </w:tblPrEx>
        <w:tc>
          <w:tcPr>
            <w:tcW w:w="2907" w:type="dxa"/>
          </w:tcPr>
          <w:p w:rsidR="00FC407F" w:rsidRPr="00EB7886" w:rsidRDefault="00FC407F">
            <w:pPr>
              <w:tabs>
                <w:tab w:val="left" w:pos="1515"/>
              </w:tabs>
              <w:rPr>
                <w:b/>
              </w:rPr>
            </w:pPr>
          </w:p>
          <w:p w:rsidR="00FC407F" w:rsidRPr="00EB7886" w:rsidRDefault="001B2259">
            <w:pPr>
              <w:tabs>
                <w:tab w:val="left" w:pos="1515"/>
              </w:tabs>
              <w:rPr>
                <w:b/>
              </w:rPr>
            </w:pPr>
            <w:r w:rsidRPr="00EB7886">
              <w:t>Tracy Watson</w:t>
            </w:r>
            <w:r w:rsidRPr="00EB7886">
              <w:rPr>
                <w:b/>
              </w:rPr>
              <w:br/>
            </w:r>
            <w:r w:rsidR="00FC407F" w:rsidRPr="00EB7886">
              <w:rPr>
                <w:b/>
              </w:rPr>
              <w:t>Member</w:t>
            </w:r>
          </w:p>
        </w:tc>
        <w:tc>
          <w:tcPr>
            <w:tcW w:w="2908" w:type="dxa"/>
          </w:tcPr>
          <w:p w:rsidR="00FC407F" w:rsidRPr="00EB7886" w:rsidRDefault="00FC407F"/>
        </w:tc>
        <w:tc>
          <w:tcPr>
            <w:tcW w:w="2906" w:type="dxa"/>
          </w:tcPr>
          <w:p w:rsidR="00FC407F" w:rsidRPr="00EB7886" w:rsidRDefault="00FC407F">
            <w:pPr>
              <w:tabs>
                <w:tab w:val="left" w:pos="1515"/>
              </w:tabs>
              <w:rPr>
                <w:b/>
              </w:rPr>
            </w:pPr>
          </w:p>
          <w:p w:rsidR="00FC407F" w:rsidRPr="00EB7886" w:rsidRDefault="00FC407F">
            <w:pPr>
              <w:rPr>
                <w:b/>
              </w:rPr>
            </w:pPr>
          </w:p>
        </w:tc>
      </w:tr>
    </w:tbl>
    <w:p w:rsidR="00FC407F" w:rsidRPr="00EB7886" w:rsidRDefault="00FC407F" w:rsidP="00622874">
      <w:pPr>
        <w:pStyle w:val="Heading1"/>
      </w:pPr>
    </w:p>
    <w:sectPr w:rsidR="00FC407F" w:rsidRPr="00EB7886">
      <w:footerReference w:type="default" r:id="rId9"/>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12D" w:rsidRDefault="0008012D">
      <w:r>
        <w:separator/>
      </w:r>
    </w:p>
  </w:endnote>
  <w:endnote w:type="continuationSeparator" w:id="0">
    <w:p w:rsidR="0008012D" w:rsidRDefault="0008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FC407F">
      <w:tblPrEx>
        <w:tblCellMar>
          <w:top w:w="0" w:type="dxa"/>
          <w:bottom w:w="0" w:type="dxa"/>
        </w:tblCellMar>
      </w:tblPrEx>
      <w:trPr>
        <w:cantSplit/>
      </w:trPr>
      <w:tc>
        <w:tcPr>
          <w:tcW w:w="6774" w:type="dxa"/>
        </w:tcPr>
        <w:p w:rsidR="00FC407F" w:rsidRDefault="00FC407F">
          <w:pPr>
            <w:pStyle w:val="Footer"/>
            <w:spacing w:before="144"/>
            <w:rPr>
              <w:sz w:val="16"/>
              <w:szCs w:val="16"/>
            </w:rPr>
          </w:pPr>
          <w:r>
            <w:rPr>
              <w:sz w:val="16"/>
              <w:szCs w:val="16"/>
            </w:rPr>
            <w:t xml:space="preserve">VCAT Reference No. </w:t>
          </w:r>
          <w:r w:rsidR="00EB7886">
            <w:rPr>
              <w:sz w:val="16"/>
              <w:szCs w:val="16"/>
            </w:rPr>
            <w:t>P</w:t>
          </w:r>
          <w:r w:rsidR="003B3DB4">
            <w:rPr>
              <w:sz w:val="16"/>
              <w:szCs w:val="16"/>
            </w:rPr>
            <w:t>1687</w:t>
          </w:r>
          <w:r w:rsidR="00EB7886">
            <w:rPr>
              <w:sz w:val="16"/>
              <w:szCs w:val="16"/>
            </w:rPr>
            <w:t>/201</w:t>
          </w:r>
          <w:r w:rsidR="003B3DB4">
            <w:rPr>
              <w:sz w:val="16"/>
              <w:szCs w:val="16"/>
            </w:rPr>
            <w:t>8</w:t>
          </w:r>
        </w:p>
      </w:tc>
      <w:tc>
        <w:tcPr>
          <w:tcW w:w="2334" w:type="dxa"/>
        </w:tcPr>
        <w:p w:rsidR="00FC407F" w:rsidRDefault="00FC407F">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p>
      </w:tc>
    </w:tr>
  </w:tbl>
  <w:p w:rsidR="00FC407F" w:rsidRDefault="00FC407F">
    <w:pPr>
      <w:pStyle w:val="Footer"/>
      <w:rPr>
        <w:sz w:val="16"/>
        <w:szCs w:val="16"/>
      </w:rPr>
    </w:pPr>
  </w:p>
  <w:p w:rsidR="00FC407F" w:rsidRDefault="00FC407F">
    <w:pPr>
      <w:rPr>
        <w:sz w:val="2"/>
      </w:rPr>
    </w:pPr>
  </w:p>
  <w:p w:rsidR="00FC407F" w:rsidRDefault="00FC407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12D" w:rsidRDefault="0008012D">
      <w:r>
        <w:separator/>
      </w:r>
    </w:p>
  </w:footnote>
  <w:footnote w:type="continuationSeparator" w:id="0">
    <w:p w:rsidR="0008012D" w:rsidRDefault="0008012D">
      <w:r>
        <w:continuationSeparator/>
      </w:r>
    </w:p>
  </w:footnote>
  <w:footnote w:id="1">
    <w:p w:rsidR="00FC407F" w:rsidRDefault="00FC407F">
      <w:pPr>
        <w:pStyle w:val="FootnoteText"/>
        <w:ind w:left="540" w:hanging="540"/>
        <w:rPr>
          <w:sz w:val="16"/>
          <w:szCs w:val="16"/>
        </w:rPr>
      </w:pPr>
      <w:r>
        <w:rPr>
          <w:rStyle w:val="FootnoteReference"/>
          <w:sz w:val="16"/>
          <w:szCs w:val="16"/>
        </w:rPr>
        <w:footnoteRef/>
      </w:r>
      <w:r w:rsidR="00934FD6">
        <w:rPr>
          <w:sz w:val="16"/>
          <w:szCs w:val="16"/>
        </w:rPr>
        <w:t xml:space="preserve"> </w:t>
      </w:r>
      <w:r w:rsidR="00934FD6">
        <w:rPr>
          <w:sz w:val="16"/>
          <w:szCs w:val="16"/>
        </w:rPr>
        <w:tab/>
        <w:t>I</w:t>
      </w:r>
      <w:r>
        <w:rPr>
          <w:sz w:val="16"/>
          <w:szCs w:val="16"/>
        </w:rPr>
        <w:t xml:space="preserve"> have considered the </w:t>
      </w:r>
      <w:r w:rsidR="00934FD6">
        <w:rPr>
          <w:sz w:val="16"/>
          <w:szCs w:val="16"/>
        </w:rPr>
        <w:t xml:space="preserve">written and oral </w:t>
      </w:r>
      <w:r>
        <w:rPr>
          <w:sz w:val="16"/>
          <w:szCs w:val="16"/>
        </w:rPr>
        <w:t xml:space="preserve">submissions of all the parties that appeared, </w:t>
      </w:r>
      <w:r w:rsidR="00B37EAE">
        <w:rPr>
          <w:sz w:val="16"/>
          <w:szCs w:val="16"/>
        </w:rPr>
        <w:t>including</w:t>
      </w:r>
      <w:r>
        <w:rPr>
          <w:sz w:val="16"/>
          <w:szCs w:val="16"/>
        </w:rPr>
        <w:t xml:space="preserve"> all the exhibits </w:t>
      </w:r>
      <w:r w:rsidR="009D7571">
        <w:rPr>
          <w:sz w:val="16"/>
          <w:szCs w:val="16"/>
        </w:rPr>
        <w:t>tendered by the parties, and</w:t>
      </w:r>
      <w:r>
        <w:rPr>
          <w:sz w:val="16"/>
          <w:szCs w:val="16"/>
        </w:rPr>
        <w:t xml:space="preserve"> the sta</w:t>
      </w:r>
      <w:r w:rsidR="009D7571">
        <w:rPr>
          <w:sz w:val="16"/>
          <w:szCs w:val="16"/>
        </w:rPr>
        <w:t>tement</w:t>
      </w:r>
      <w:r w:rsidR="00B01C5F">
        <w:rPr>
          <w:sz w:val="16"/>
          <w:szCs w:val="16"/>
        </w:rPr>
        <w:t>s</w:t>
      </w:r>
      <w:r w:rsidR="00934FD6">
        <w:rPr>
          <w:sz w:val="16"/>
          <w:szCs w:val="16"/>
        </w:rPr>
        <w:t xml:space="preserve"> of grounds filed.  I </w:t>
      </w:r>
      <w:r>
        <w:rPr>
          <w:sz w:val="16"/>
          <w:szCs w:val="16"/>
        </w:rPr>
        <w:t xml:space="preserve">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2"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3" w15:restartNumberingAfterBreak="0">
    <w:nsid w:val="0B893A7F"/>
    <w:multiLevelType w:val="hybridMultilevel"/>
    <w:tmpl w:val="A59A9106"/>
    <w:lvl w:ilvl="0">
      <w:start w:val="1"/>
      <w:numFmt w:val="lowerLetter"/>
      <w:pStyle w:val="Para4"/>
      <w:lvlText w:val="%1"/>
      <w:lvlJc w:val="left"/>
      <w:pPr>
        <w:tabs>
          <w:tab w:val="num" w:pos="1134"/>
        </w:tabs>
        <w:ind w:left="1134" w:hanging="567"/>
      </w:pPr>
      <w:rPr>
        <w:rFonts w:hint="default"/>
      </w:rPr>
    </w:lvl>
    <w:lvl w:ilvl="1">
      <w:start w:val="1"/>
      <w:numFmt w:val="bullet"/>
      <w:pStyle w:val="Para5"/>
      <w:lvlText w:val=""/>
      <w:lvlJc w:val="left"/>
      <w:pPr>
        <w:tabs>
          <w:tab w:val="num" w:pos="1134"/>
        </w:tabs>
        <w:ind w:left="1134" w:hanging="567"/>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pStyle w:val="Para4"/>
      <w:lvlText w:val="%5."/>
      <w:lvlJc w:val="left"/>
      <w:pPr>
        <w:tabs>
          <w:tab w:val="num" w:pos="1134"/>
        </w:tabs>
        <w:ind w:left="1134" w:hanging="567"/>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9D13BA"/>
    <w:multiLevelType w:val="hybridMultilevel"/>
    <w:tmpl w:val="109232A6"/>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5" w15:restartNumberingAfterBreak="0">
    <w:nsid w:val="0E6B5A97"/>
    <w:multiLevelType w:val="hybridMultilevel"/>
    <w:tmpl w:val="555E53F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32A618D"/>
    <w:multiLevelType w:val="hybridMultilevel"/>
    <w:tmpl w:val="9EC46206"/>
    <w:lvl w:ilvl="0">
      <w:start w:val="1"/>
      <w:numFmt w:val="lowerRoman"/>
      <w:pStyle w:val="Para3"/>
      <w:lvlText w:val="%1"/>
      <w:lvlJc w:val="left"/>
      <w:pPr>
        <w:tabs>
          <w:tab w:val="num" w:pos="1134"/>
        </w:tabs>
        <w:ind w:left="1134"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1A301F8"/>
    <w:multiLevelType w:val="hybridMultilevel"/>
    <w:tmpl w:val="81B0A810"/>
    <w:lvl w:ilvl="0">
      <w:start w:val="1"/>
      <w:numFmt w:val="bullet"/>
      <w:pStyle w:val="Para5"/>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E1DAA"/>
    <w:multiLevelType w:val="hybridMultilevel"/>
    <w:tmpl w:val="5F06D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2FB2C39"/>
    <w:multiLevelType w:val="hybridMultilevel"/>
    <w:tmpl w:val="A7A85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592BA6"/>
    <w:multiLevelType w:val="hybridMultilevel"/>
    <w:tmpl w:val="DDF49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8652BC"/>
    <w:multiLevelType w:val="hybridMultilevel"/>
    <w:tmpl w:val="7D7A2946"/>
    <w:lvl w:ilvl="0" w:tplc="253A9182">
      <w:start w:val="1"/>
      <w:numFmt w:val="bullet"/>
      <w:lvlText w:val=""/>
      <w:lvlJc w:val="left"/>
      <w:pPr>
        <w:tabs>
          <w:tab w:val="num" w:pos="360"/>
        </w:tabs>
        <w:ind w:left="360" w:hanging="360"/>
      </w:pPr>
      <w:rPr>
        <w:rFonts w:ascii="Symbol" w:hAnsi="Symbol" w:hint="default"/>
      </w:rPr>
    </w:lvl>
    <w:lvl w:ilvl="1" w:tplc="EA08CFEC"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E0188D08"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0A08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8"/>
  </w:num>
  <w:num w:numId="4">
    <w:abstractNumId w:val="14"/>
  </w:num>
  <w:num w:numId="5">
    <w:abstractNumId w:val="1"/>
  </w:num>
  <w:num w:numId="6">
    <w:abstractNumId w:val="10"/>
  </w:num>
  <w:num w:numId="7">
    <w:abstractNumId w:val="13"/>
  </w:num>
  <w:num w:numId="8">
    <w:abstractNumId w:val="2"/>
    <w:lvlOverride w:ilvl="0">
      <w:startOverride w:val="1"/>
    </w:lvlOverride>
  </w:num>
  <w:num w:numId="9">
    <w:abstractNumId w:val="10"/>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2"/>
  </w:num>
  <w:num w:numId="18">
    <w:abstractNumId w:val="9"/>
  </w:num>
  <w:num w:numId="19">
    <w:abstractNumId w:val="11"/>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Ld9gS0hVyWtgX8ibefnNGZ/yHmFO9gW3OfOPo9hBh5bAqfW5AzRJHGHnHOgbQRLTH0OCO3qmzZPUff2P8jqKSg==" w:salt="+cUj/0lSviR/B7ncCn/acA=="/>
  <w:defaultTabStop w:val="284"/>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B7EA725-3619-4140-B977-7FDCB227C85D}"/>
    <w:docVar w:name="dgnword-eventsink" w:val="8642720"/>
    <w:docVar w:name="VCAT Seal" w:val="True"/>
  </w:docVars>
  <w:rsids>
    <w:rsidRoot w:val="00A359C1"/>
    <w:rsid w:val="00062839"/>
    <w:rsid w:val="0008012D"/>
    <w:rsid w:val="00087B98"/>
    <w:rsid w:val="000B1B5C"/>
    <w:rsid w:val="000D1F1D"/>
    <w:rsid w:val="000E76AB"/>
    <w:rsid w:val="00101194"/>
    <w:rsid w:val="00137705"/>
    <w:rsid w:val="001621A2"/>
    <w:rsid w:val="0017796C"/>
    <w:rsid w:val="00181C2D"/>
    <w:rsid w:val="001B2259"/>
    <w:rsid w:val="001E17AD"/>
    <w:rsid w:val="00203EED"/>
    <w:rsid w:val="00211344"/>
    <w:rsid w:val="00230CA4"/>
    <w:rsid w:val="00261D82"/>
    <w:rsid w:val="002A2EBE"/>
    <w:rsid w:val="002D18D8"/>
    <w:rsid w:val="002D1C33"/>
    <w:rsid w:val="002E041F"/>
    <w:rsid w:val="002E4C8F"/>
    <w:rsid w:val="002F7625"/>
    <w:rsid w:val="00326449"/>
    <w:rsid w:val="003415FF"/>
    <w:rsid w:val="003658B2"/>
    <w:rsid w:val="003B3DB4"/>
    <w:rsid w:val="003C4C15"/>
    <w:rsid w:val="003E02DB"/>
    <w:rsid w:val="004252E7"/>
    <w:rsid w:val="00443405"/>
    <w:rsid w:val="00463AFA"/>
    <w:rsid w:val="00511CD9"/>
    <w:rsid w:val="005146E6"/>
    <w:rsid w:val="00541C9C"/>
    <w:rsid w:val="00565BD6"/>
    <w:rsid w:val="00591660"/>
    <w:rsid w:val="00596287"/>
    <w:rsid w:val="005C5F9A"/>
    <w:rsid w:val="005D13E7"/>
    <w:rsid w:val="00603D5B"/>
    <w:rsid w:val="0061185D"/>
    <w:rsid w:val="00622874"/>
    <w:rsid w:val="00622B7E"/>
    <w:rsid w:val="00637B3F"/>
    <w:rsid w:val="006421CE"/>
    <w:rsid w:val="00683A1F"/>
    <w:rsid w:val="00712F91"/>
    <w:rsid w:val="00720B4B"/>
    <w:rsid w:val="00737A35"/>
    <w:rsid w:val="0075606D"/>
    <w:rsid w:val="007674C9"/>
    <w:rsid w:val="007714A8"/>
    <w:rsid w:val="00795144"/>
    <w:rsid w:val="007A5C3B"/>
    <w:rsid w:val="007A7B27"/>
    <w:rsid w:val="007C1D14"/>
    <w:rsid w:val="00801AB6"/>
    <w:rsid w:val="0083460A"/>
    <w:rsid w:val="00836954"/>
    <w:rsid w:val="00845698"/>
    <w:rsid w:val="00847F74"/>
    <w:rsid w:val="00891474"/>
    <w:rsid w:val="008C21C9"/>
    <w:rsid w:val="00927D39"/>
    <w:rsid w:val="00934FD6"/>
    <w:rsid w:val="00951A71"/>
    <w:rsid w:val="00970E77"/>
    <w:rsid w:val="00983301"/>
    <w:rsid w:val="009D7571"/>
    <w:rsid w:val="009E3CDC"/>
    <w:rsid w:val="00A12661"/>
    <w:rsid w:val="00A1590E"/>
    <w:rsid w:val="00A24586"/>
    <w:rsid w:val="00A275B7"/>
    <w:rsid w:val="00A359C1"/>
    <w:rsid w:val="00A41535"/>
    <w:rsid w:val="00A62BD6"/>
    <w:rsid w:val="00A667B1"/>
    <w:rsid w:val="00A97FB4"/>
    <w:rsid w:val="00AD5463"/>
    <w:rsid w:val="00AE254B"/>
    <w:rsid w:val="00B01C5F"/>
    <w:rsid w:val="00B02006"/>
    <w:rsid w:val="00B06FB5"/>
    <w:rsid w:val="00B347E5"/>
    <w:rsid w:val="00B37EAE"/>
    <w:rsid w:val="00B53C37"/>
    <w:rsid w:val="00B76115"/>
    <w:rsid w:val="00BD021D"/>
    <w:rsid w:val="00C0186B"/>
    <w:rsid w:val="00C175F7"/>
    <w:rsid w:val="00C57422"/>
    <w:rsid w:val="00C63C2C"/>
    <w:rsid w:val="00C8742B"/>
    <w:rsid w:val="00CB2489"/>
    <w:rsid w:val="00D458E0"/>
    <w:rsid w:val="00D54111"/>
    <w:rsid w:val="00D56640"/>
    <w:rsid w:val="00D672FF"/>
    <w:rsid w:val="00D70F79"/>
    <w:rsid w:val="00D71887"/>
    <w:rsid w:val="00D81BAC"/>
    <w:rsid w:val="00D869FB"/>
    <w:rsid w:val="00DF62F0"/>
    <w:rsid w:val="00E00F02"/>
    <w:rsid w:val="00E060F3"/>
    <w:rsid w:val="00E33A89"/>
    <w:rsid w:val="00E40E6E"/>
    <w:rsid w:val="00E575F2"/>
    <w:rsid w:val="00E67A62"/>
    <w:rsid w:val="00E96AED"/>
    <w:rsid w:val="00EA227C"/>
    <w:rsid w:val="00EB0F47"/>
    <w:rsid w:val="00EB7886"/>
    <w:rsid w:val="00EE2A39"/>
    <w:rsid w:val="00F10CF9"/>
    <w:rsid w:val="00F20091"/>
    <w:rsid w:val="00F45F94"/>
    <w:rsid w:val="00F64435"/>
    <w:rsid w:val="00F871A4"/>
    <w:rsid w:val="00F977AA"/>
    <w:rsid w:val="00FB180C"/>
    <w:rsid w:val="00FB799B"/>
    <w:rsid w:val="00FC1204"/>
    <w:rsid w:val="00FC407F"/>
    <w:rsid w:val="00FC549E"/>
    <w:rsid w:val="00FE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3F5ADB3A"/>
  <w15:chartTrackingRefBased/>
  <w15:docId w15:val="{65EC49D5-DC9F-406F-92FF-7118F79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10"/>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paragraph" w:styleId="PlainText">
    <w:name w:val="Plain Text"/>
    <w:basedOn w:val="Normal"/>
    <w:link w:val="PlainTextChar"/>
    <w:uiPriority w:val="99"/>
    <w:unhideWhenUsed/>
    <w:rsid w:val="00801AB6"/>
    <w:rPr>
      <w:rFonts w:ascii="Consolas" w:hAnsi="Consolas" w:cs="Consolas"/>
      <w:sz w:val="21"/>
      <w:szCs w:val="21"/>
      <w:lang w:val="en-US"/>
    </w:rPr>
  </w:style>
  <w:style w:type="character" w:customStyle="1" w:styleId="PlainTextChar">
    <w:name w:val="Plain Text Char"/>
    <w:link w:val="PlainText"/>
    <w:uiPriority w:val="99"/>
    <w:rsid w:val="00801AB6"/>
    <w:rPr>
      <w:rFonts w:ascii="Consolas" w:hAnsi="Consolas" w:cs="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0A12-C8E7-4664-84EF-EEA493BA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DECISION TEMPLATE 2014 Template version.dot</Template>
  <TotalTime>2</TotalTime>
  <Pages>6</Pages>
  <Words>1796</Words>
  <Characters>10243</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Tracy L Watson (CSV)</cp:lastModifiedBy>
  <cp:revision>3</cp:revision>
  <cp:lastPrinted>2019-04-15T03:21:00Z</cp:lastPrinted>
  <dcterms:created xsi:type="dcterms:W3CDTF">2019-04-15T03:23:00Z</dcterms:created>
  <dcterms:modified xsi:type="dcterms:W3CDTF">2019-04-15T03:24:00Z</dcterms:modified>
</cp:coreProperties>
</file>