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D0AAF" w14:textId="0BDAC5A0" w:rsidR="00361EF0" w:rsidRDefault="003123D2" w:rsidP="00361EF0">
      <w:pPr>
        <w:pStyle w:val="TitlePage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62DC3F0C" wp14:editId="4C6F3686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1EF0">
        <w:t>VICTORIAN CIVIL AND ADMINISTRATIVE TRIBUNAL</w:t>
      </w:r>
    </w:p>
    <w:p w14:paraId="39DF97D1" w14:textId="77777777" w:rsidR="00361EF0" w:rsidRDefault="007F00B8" w:rsidP="00E769A5">
      <w:pPr>
        <w:pStyle w:val="TitlePage1"/>
        <w:spacing w:after="120"/>
      </w:pPr>
      <w:bookmarkStart w:id="1" w:name="Division"/>
      <w:bookmarkEnd w:id="1"/>
      <w:r>
        <w:t xml:space="preserve">planning and environment </w:t>
      </w:r>
      <w:r w:rsidR="00361EF0">
        <w:t>DIVISION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94"/>
        <w:gridCol w:w="4011"/>
      </w:tblGrid>
      <w:tr w:rsidR="00361EF0" w14:paraId="7A08C17B" w14:textId="77777777">
        <w:trPr>
          <w:cantSplit/>
        </w:trPr>
        <w:tc>
          <w:tcPr>
            <w:tcW w:w="2642" w:type="pct"/>
          </w:tcPr>
          <w:p w14:paraId="51D00843" w14:textId="77777777" w:rsidR="00361EF0" w:rsidRDefault="00361EF0" w:rsidP="007F601B">
            <w:pPr>
              <w:pStyle w:val="TitlePage2"/>
            </w:pPr>
            <w:bookmarkStart w:id="2" w:name="SubDivision"/>
            <w:bookmarkEnd w:id="2"/>
            <w:r>
              <w:t>planning and environment LIST</w:t>
            </w:r>
          </w:p>
        </w:tc>
        <w:tc>
          <w:tcPr>
            <w:tcW w:w="2358" w:type="pct"/>
          </w:tcPr>
          <w:p w14:paraId="34D9DC4A" w14:textId="3F04FEC4" w:rsidR="00361EF0" w:rsidRDefault="00361EF0" w:rsidP="007F601B">
            <w:pPr>
              <w:pStyle w:val="TitlePage3"/>
            </w:pPr>
            <w:bookmarkStart w:id="3" w:name="FileNo1"/>
            <w:bookmarkEnd w:id="3"/>
            <w:r>
              <w:t xml:space="preserve">vcat reference No. </w:t>
            </w:r>
            <w:r w:rsidR="001C492F">
              <w:t>P877/2020</w:t>
            </w:r>
          </w:p>
          <w:p w14:paraId="24E4D694" w14:textId="05FE9C4B" w:rsidR="00361EF0" w:rsidRDefault="00361EF0" w:rsidP="007F601B">
            <w:pPr>
              <w:pStyle w:val="TitlePage3"/>
            </w:pPr>
            <w:r>
              <w:t xml:space="preserve">Permit Application no. </w:t>
            </w:r>
            <w:bookmarkStart w:id="4" w:name="_Hlk51590507"/>
            <w:r w:rsidR="001C492F">
              <w:t>TPA/45941/A</w:t>
            </w:r>
            <w:bookmarkEnd w:id="4"/>
          </w:p>
        </w:tc>
      </w:tr>
    </w:tbl>
    <w:p w14:paraId="6846A9D9" w14:textId="77777777" w:rsidR="00361EF0" w:rsidRDefault="00361EF0" w:rsidP="00361EF0">
      <w:bookmarkStart w:id="5" w:name="Catchwords"/>
      <w:bookmarkEnd w:id="5"/>
    </w:p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361EF0" w14:paraId="315B7C48" w14:textId="77777777" w:rsidTr="00293A03">
        <w:tc>
          <w:tcPr>
            <w:tcW w:w="2084" w:type="pct"/>
          </w:tcPr>
          <w:p w14:paraId="79EEE0E4" w14:textId="77777777" w:rsidR="00361EF0" w:rsidRDefault="00361EF0" w:rsidP="007F601B">
            <w:pPr>
              <w:pStyle w:val="TitlePage2"/>
            </w:pPr>
            <w:bookmarkStart w:id="6" w:name="DELcomplainants2"/>
            <w:bookmarkStart w:id="7" w:name="DELapp"/>
            <w:bookmarkStart w:id="8" w:name="DELitmo"/>
            <w:bookmarkStart w:id="9" w:name="DELcar"/>
            <w:r>
              <w:t>APPLICANT</w:t>
            </w:r>
          </w:p>
        </w:tc>
        <w:tc>
          <w:tcPr>
            <w:tcW w:w="2916" w:type="pct"/>
          </w:tcPr>
          <w:p w14:paraId="5C367CB8" w14:textId="215079D2" w:rsidR="00361EF0" w:rsidRDefault="001C492F" w:rsidP="007F601B">
            <w:pPr>
              <w:pStyle w:val="TitlePagetext"/>
            </w:pPr>
            <w:bookmarkStart w:id="10" w:name="Applicant"/>
            <w:bookmarkEnd w:id="10"/>
            <w:r>
              <w:t>Mr Damien Kerr</w:t>
            </w:r>
          </w:p>
        </w:tc>
      </w:tr>
      <w:tr w:rsidR="00361EF0" w14:paraId="0DCB58C1" w14:textId="77777777" w:rsidTr="00293A03">
        <w:tc>
          <w:tcPr>
            <w:tcW w:w="2084" w:type="pct"/>
          </w:tcPr>
          <w:p w14:paraId="1DBB9D0A" w14:textId="77777777" w:rsidR="00361EF0" w:rsidRDefault="00361EF0" w:rsidP="007F601B">
            <w:pPr>
              <w:pStyle w:val="TitlePage2"/>
            </w:pPr>
            <w:r>
              <w:t>responsible authority</w:t>
            </w:r>
          </w:p>
        </w:tc>
        <w:tc>
          <w:tcPr>
            <w:tcW w:w="2916" w:type="pct"/>
          </w:tcPr>
          <w:p w14:paraId="41845C07" w14:textId="7F9FF68F" w:rsidR="00361EF0" w:rsidRDefault="001C492F" w:rsidP="007F601B">
            <w:pPr>
              <w:pStyle w:val="TitlePagetext"/>
            </w:pPr>
            <w:r>
              <w:t>Monash City Council</w:t>
            </w:r>
          </w:p>
        </w:tc>
      </w:tr>
      <w:tr w:rsidR="00361EF0" w14:paraId="310382CF" w14:textId="77777777" w:rsidTr="00293A03">
        <w:tc>
          <w:tcPr>
            <w:tcW w:w="2084" w:type="pct"/>
          </w:tcPr>
          <w:p w14:paraId="093E97EA" w14:textId="77777777" w:rsidR="00361EF0" w:rsidRDefault="00361EF0" w:rsidP="007F601B">
            <w:pPr>
              <w:pStyle w:val="TitlePage2"/>
            </w:pPr>
            <w:bookmarkStart w:id="11" w:name="DELrespondents2"/>
            <w:bookmarkStart w:id="12" w:name="DELsubjectland"/>
            <w:bookmarkEnd w:id="6"/>
            <w:bookmarkEnd w:id="7"/>
            <w:r>
              <w:t>SUBJECT LAND</w:t>
            </w:r>
          </w:p>
        </w:tc>
        <w:tc>
          <w:tcPr>
            <w:tcW w:w="2916" w:type="pct"/>
          </w:tcPr>
          <w:p w14:paraId="415690F3" w14:textId="0FEFC092" w:rsidR="00361EF0" w:rsidRDefault="001C492F" w:rsidP="007F601B">
            <w:pPr>
              <w:pStyle w:val="TitlePagetext"/>
            </w:pPr>
            <w:bookmarkStart w:id="13" w:name="subjectland"/>
            <w:bookmarkEnd w:id="13"/>
            <w:r>
              <w:t>7 Edinburgh Street, Oakleigh South</w:t>
            </w:r>
          </w:p>
        </w:tc>
      </w:tr>
      <w:tr w:rsidR="00361EF0" w14:paraId="19D43180" w14:textId="77777777" w:rsidTr="00293A03">
        <w:tc>
          <w:tcPr>
            <w:tcW w:w="2084" w:type="pct"/>
          </w:tcPr>
          <w:p w14:paraId="6EBE1271" w14:textId="77777777" w:rsidR="00361EF0" w:rsidRDefault="00361EF0" w:rsidP="007F601B">
            <w:pPr>
              <w:pStyle w:val="TitlePage2"/>
            </w:pPr>
            <w:bookmarkStart w:id="14" w:name="INSresponsibleAuthority"/>
            <w:bookmarkEnd w:id="8"/>
            <w:bookmarkEnd w:id="9"/>
            <w:bookmarkEnd w:id="11"/>
            <w:bookmarkEnd w:id="12"/>
            <w:bookmarkEnd w:id="14"/>
            <w:r>
              <w:t>WHERE HELD</w:t>
            </w:r>
          </w:p>
        </w:tc>
        <w:tc>
          <w:tcPr>
            <w:tcW w:w="2916" w:type="pct"/>
          </w:tcPr>
          <w:p w14:paraId="0CD671B0" w14:textId="77777777" w:rsidR="00361EF0" w:rsidRDefault="00361EF0" w:rsidP="007F601B">
            <w:pPr>
              <w:pStyle w:val="TitlePagetext"/>
            </w:pPr>
            <w:bookmarkStart w:id="15" w:name="Location"/>
            <w:bookmarkEnd w:id="15"/>
            <w:r>
              <w:t>Melbourne</w:t>
            </w:r>
          </w:p>
        </w:tc>
      </w:tr>
      <w:tr w:rsidR="00361EF0" w14:paraId="2FFA1BFA" w14:textId="77777777" w:rsidTr="00293A03">
        <w:tc>
          <w:tcPr>
            <w:tcW w:w="2084" w:type="pct"/>
          </w:tcPr>
          <w:p w14:paraId="7C7BB6B1" w14:textId="77777777" w:rsidR="00361EF0" w:rsidRDefault="00361EF0" w:rsidP="007F601B">
            <w:pPr>
              <w:pStyle w:val="TitlePage2"/>
            </w:pPr>
            <w:r>
              <w:t>BEFORE</w:t>
            </w:r>
          </w:p>
        </w:tc>
        <w:tc>
          <w:tcPr>
            <w:tcW w:w="2916" w:type="pct"/>
          </w:tcPr>
          <w:p w14:paraId="311C912C" w14:textId="7D6B07E7" w:rsidR="00361EF0" w:rsidRDefault="001C492F" w:rsidP="007F601B">
            <w:pPr>
              <w:pStyle w:val="TitlePagetext"/>
            </w:pPr>
            <w:bookmarkStart w:id="16" w:name="Before"/>
            <w:bookmarkEnd w:id="16"/>
            <w:r>
              <w:t>Michael Nelthorpe</w:t>
            </w:r>
            <w:r w:rsidR="0032102D">
              <w:t>,</w:t>
            </w:r>
            <w:r w:rsidR="00361EF0">
              <w:t xml:space="preserve"> Member</w:t>
            </w:r>
          </w:p>
        </w:tc>
      </w:tr>
      <w:tr w:rsidR="00361EF0" w14:paraId="7CB9C603" w14:textId="77777777" w:rsidTr="00293A03">
        <w:tc>
          <w:tcPr>
            <w:tcW w:w="2084" w:type="pct"/>
          </w:tcPr>
          <w:p w14:paraId="29101B3E" w14:textId="77777777" w:rsidR="00361EF0" w:rsidRDefault="00361EF0" w:rsidP="007F601B">
            <w:pPr>
              <w:pStyle w:val="TitlePage2"/>
            </w:pPr>
            <w:r>
              <w:t>HEARING TYPE</w:t>
            </w:r>
          </w:p>
        </w:tc>
        <w:tc>
          <w:tcPr>
            <w:tcW w:w="2916" w:type="pct"/>
          </w:tcPr>
          <w:p w14:paraId="69F1CFB2" w14:textId="77777777" w:rsidR="00361EF0" w:rsidRDefault="00361EF0" w:rsidP="007F601B">
            <w:pPr>
              <w:pStyle w:val="TitlePagetext"/>
            </w:pPr>
            <w:bookmarkStart w:id="17" w:name="HearingType"/>
            <w:bookmarkEnd w:id="17"/>
            <w:r>
              <w:t>Hearing</w:t>
            </w:r>
          </w:p>
        </w:tc>
      </w:tr>
      <w:tr w:rsidR="00361EF0" w14:paraId="76D8D4ED" w14:textId="77777777" w:rsidTr="00293A03">
        <w:tc>
          <w:tcPr>
            <w:tcW w:w="2084" w:type="pct"/>
          </w:tcPr>
          <w:p w14:paraId="7DEE65EF" w14:textId="77777777" w:rsidR="00361EF0" w:rsidRDefault="00361EF0" w:rsidP="007F601B">
            <w:pPr>
              <w:pStyle w:val="TitlePage2"/>
            </w:pPr>
            <w:r>
              <w:t>DATE OF HEARING</w:t>
            </w:r>
          </w:p>
        </w:tc>
        <w:tc>
          <w:tcPr>
            <w:tcW w:w="2916" w:type="pct"/>
          </w:tcPr>
          <w:p w14:paraId="3DC983FA" w14:textId="5AC6385D" w:rsidR="00361EF0" w:rsidRDefault="001C492F" w:rsidP="007F601B">
            <w:pPr>
              <w:pStyle w:val="TitlePagetext"/>
            </w:pPr>
            <w:bookmarkStart w:id="18" w:name="HearingDate"/>
            <w:bookmarkEnd w:id="18"/>
            <w:r>
              <w:t>15 September 2020</w:t>
            </w:r>
          </w:p>
        </w:tc>
      </w:tr>
      <w:tr w:rsidR="00361EF0" w14:paraId="412A7749" w14:textId="77777777" w:rsidTr="00293A03">
        <w:tc>
          <w:tcPr>
            <w:tcW w:w="2084" w:type="pct"/>
          </w:tcPr>
          <w:p w14:paraId="776D7065" w14:textId="77777777" w:rsidR="00361EF0" w:rsidRDefault="00361EF0" w:rsidP="007F601B">
            <w:pPr>
              <w:pStyle w:val="TitlePage2"/>
            </w:pPr>
            <w:r>
              <w:t>DATE OF ORDER</w:t>
            </w:r>
          </w:p>
        </w:tc>
        <w:tc>
          <w:tcPr>
            <w:tcW w:w="2916" w:type="pct"/>
          </w:tcPr>
          <w:p w14:paraId="3C7DCCE6" w14:textId="0486CA64" w:rsidR="00361EF0" w:rsidRDefault="001C492F" w:rsidP="007F601B">
            <w:pPr>
              <w:pStyle w:val="TitlePagetext"/>
            </w:pPr>
            <w:bookmarkStart w:id="19" w:name="DateOrder"/>
            <w:bookmarkEnd w:id="19"/>
            <w:r>
              <w:t xml:space="preserve">21 </w:t>
            </w:r>
            <w:r>
              <w:t>September 2020</w:t>
            </w:r>
          </w:p>
        </w:tc>
      </w:tr>
    </w:tbl>
    <w:p w14:paraId="280A4DDD" w14:textId="77777777" w:rsidR="00361EF0" w:rsidRDefault="00361EF0" w:rsidP="00361EF0"/>
    <w:p w14:paraId="2E59E729" w14:textId="77777777" w:rsidR="00361EF0" w:rsidRDefault="00361EF0" w:rsidP="00361EF0">
      <w:pPr>
        <w:pStyle w:val="Heading1"/>
      </w:pPr>
      <w:r>
        <w:t>Order</w:t>
      </w:r>
    </w:p>
    <w:p w14:paraId="4A05DB7F" w14:textId="77777777" w:rsidR="00167876" w:rsidRDefault="00167876" w:rsidP="00167876">
      <w:pPr>
        <w:pStyle w:val="Order1"/>
      </w:pPr>
    </w:p>
    <w:p w14:paraId="1AED6BD7" w14:textId="0CFFDCD6" w:rsidR="001C492F" w:rsidRPr="00613A91" w:rsidRDefault="001C492F" w:rsidP="001C492F">
      <w:pPr>
        <w:pStyle w:val="Order2"/>
      </w:pPr>
      <w:r w:rsidRPr="00613A91">
        <w:t xml:space="preserve">In application </w:t>
      </w:r>
      <w:r>
        <w:t xml:space="preserve">P877/2020 </w:t>
      </w:r>
      <w:r w:rsidRPr="00613A91">
        <w:t>the decision of the responsible authority is affirmed.</w:t>
      </w:r>
    </w:p>
    <w:p w14:paraId="5DC27B8A" w14:textId="6716E6F1" w:rsidR="004B3605" w:rsidRDefault="001C492F" w:rsidP="000104FA">
      <w:pPr>
        <w:pStyle w:val="Order2"/>
      </w:pPr>
      <w:r w:rsidRPr="00613A91">
        <w:t xml:space="preserve">Planning permit </w:t>
      </w:r>
      <w:r>
        <w:t>TPA/45941/A</w:t>
      </w:r>
      <w:r w:rsidRPr="00613A91">
        <w:t xml:space="preserve"> must not be amended.</w:t>
      </w:r>
    </w:p>
    <w:p w14:paraId="090A4643" w14:textId="77777777" w:rsidR="00C26EBF" w:rsidRDefault="00C26EBF" w:rsidP="00361EF0"/>
    <w:p w14:paraId="6A3625BF" w14:textId="77777777" w:rsidR="0034213D" w:rsidRDefault="0034213D" w:rsidP="00361EF0"/>
    <w:p w14:paraId="3A52ED13" w14:textId="77777777" w:rsidR="0034213D" w:rsidRDefault="0034213D" w:rsidP="00361EF0"/>
    <w:p w14:paraId="1A5DBFD5" w14:textId="77777777" w:rsidR="0034213D" w:rsidRDefault="0034213D" w:rsidP="00361EF0"/>
    <w:p w14:paraId="1994FE43" w14:textId="77777777" w:rsidR="00361EF0" w:rsidRDefault="00361EF0" w:rsidP="00361EF0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B876A2" w14:paraId="4458F551" w14:textId="77777777" w:rsidTr="00B876A2">
        <w:tc>
          <w:tcPr>
            <w:tcW w:w="1750" w:type="pct"/>
          </w:tcPr>
          <w:p w14:paraId="03EB0671" w14:textId="3BDADB33" w:rsidR="00B876A2" w:rsidRPr="00B876A2" w:rsidRDefault="001C492F" w:rsidP="00361EF0">
            <w:pPr>
              <w:rPr>
                <w:b/>
              </w:rPr>
            </w:pPr>
            <w:r>
              <w:rPr>
                <w:b/>
              </w:rPr>
              <w:t>Michael Nelthorpe</w:t>
            </w:r>
          </w:p>
          <w:p w14:paraId="6A62D612" w14:textId="77777777" w:rsidR="00B876A2" w:rsidRDefault="00B876A2" w:rsidP="00361EF0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1500" w:type="pct"/>
          </w:tcPr>
          <w:p w14:paraId="6CBB5324" w14:textId="77777777" w:rsidR="00B876A2" w:rsidRDefault="00B876A2" w:rsidP="007F601B"/>
        </w:tc>
        <w:tc>
          <w:tcPr>
            <w:tcW w:w="1750" w:type="pct"/>
          </w:tcPr>
          <w:p w14:paraId="69718DC7" w14:textId="77777777" w:rsidR="00B876A2" w:rsidRDefault="00B876A2" w:rsidP="007F601B"/>
        </w:tc>
      </w:tr>
    </w:tbl>
    <w:p w14:paraId="23C7FF17" w14:textId="77777777" w:rsidR="00124C1E" w:rsidRDefault="00124C1E" w:rsidP="00361EF0"/>
    <w:p w14:paraId="4A91E6F4" w14:textId="77777777" w:rsidR="00C10388" w:rsidRDefault="00C10388" w:rsidP="00361EF0"/>
    <w:p w14:paraId="5A55F10F" w14:textId="77777777" w:rsidR="00B876A2" w:rsidRDefault="00B876A2" w:rsidP="00361EF0"/>
    <w:p w14:paraId="2E0DC529" w14:textId="77777777" w:rsidR="009D0685" w:rsidRDefault="009D0685" w:rsidP="009D0685">
      <w:pPr>
        <w:pStyle w:val="Heading1"/>
        <w:rPr>
          <w:highlight w:val="yellow"/>
        </w:rPr>
      </w:pPr>
      <w:r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9D0685" w14:paraId="3C2A5E96" w14:textId="77777777" w:rsidTr="004D42CC">
        <w:trPr>
          <w:cantSplit/>
        </w:trPr>
        <w:tc>
          <w:tcPr>
            <w:tcW w:w="2023" w:type="pct"/>
          </w:tcPr>
          <w:p w14:paraId="61518145" w14:textId="6A933C14" w:rsidR="009D0685" w:rsidRDefault="009D0685" w:rsidP="004D42CC">
            <w:pPr>
              <w:pStyle w:val="TitlePagetext"/>
            </w:pPr>
            <w:r>
              <w:t xml:space="preserve">For </w:t>
            </w:r>
            <w:r w:rsidR="001C492F">
              <w:t>Mr Kerr</w:t>
            </w:r>
          </w:p>
        </w:tc>
        <w:tc>
          <w:tcPr>
            <w:tcW w:w="2977" w:type="pct"/>
          </w:tcPr>
          <w:p w14:paraId="0ED929EF" w14:textId="700F9F86" w:rsidR="009D0685" w:rsidRDefault="001C492F" w:rsidP="004D42CC">
            <w:pPr>
              <w:pStyle w:val="TitlePagetext"/>
            </w:pPr>
            <w:r>
              <w:t>Mr Kerr in person</w:t>
            </w:r>
          </w:p>
        </w:tc>
      </w:tr>
      <w:tr w:rsidR="009D0685" w14:paraId="341BA51C" w14:textId="77777777" w:rsidTr="004D42CC">
        <w:trPr>
          <w:cantSplit/>
        </w:trPr>
        <w:tc>
          <w:tcPr>
            <w:tcW w:w="2023" w:type="pct"/>
          </w:tcPr>
          <w:p w14:paraId="407B7323" w14:textId="77777777" w:rsidR="009D0685" w:rsidRDefault="009D0685" w:rsidP="004D42CC">
            <w:pPr>
              <w:pStyle w:val="TitlePagetext"/>
            </w:pPr>
            <w:r>
              <w:t>For responsible authority</w:t>
            </w:r>
          </w:p>
        </w:tc>
        <w:tc>
          <w:tcPr>
            <w:tcW w:w="2977" w:type="pct"/>
          </w:tcPr>
          <w:p w14:paraId="5AFCECF7" w14:textId="21871454" w:rsidR="009D0685" w:rsidRDefault="001C492F" w:rsidP="004D42CC">
            <w:pPr>
              <w:pStyle w:val="TitlePagetext"/>
            </w:pPr>
            <w:r>
              <w:t>Mr James Turner, Principal Planner – Appeals Advisor</w:t>
            </w:r>
          </w:p>
        </w:tc>
      </w:tr>
    </w:tbl>
    <w:p w14:paraId="7705DA8A" w14:textId="77777777" w:rsidR="009D0685" w:rsidRPr="00303C52" w:rsidRDefault="009D0685" w:rsidP="009D0685"/>
    <w:p w14:paraId="369DC61C" w14:textId="77777777" w:rsidR="00764EDD" w:rsidRDefault="00764EDD">
      <w:r>
        <w:br w:type="page"/>
      </w:r>
    </w:p>
    <w:p w14:paraId="5DC60240" w14:textId="426C728C" w:rsidR="00124C1E" w:rsidRDefault="003123D2" w:rsidP="00361EF0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5734451" wp14:editId="4FAF1416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2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1488A" w14:textId="77777777" w:rsidR="009D0685" w:rsidRDefault="009D0685" w:rsidP="009D0685">
      <w:pPr>
        <w:pStyle w:val="Heading1"/>
        <w:rPr>
          <w:highlight w:val="yellow"/>
        </w:rPr>
      </w:pPr>
      <w:r>
        <w:t>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5232"/>
      </w:tblGrid>
      <w:tr w:rsidR="009D0685" w14:paraId="39892ABD" w14:textId="77777777" w:rsidTr="004D42CC">
        <w:trPr>
          <w:cantSplit/>
        </w:trPr>
        <w:tc>
          <w:tcPr>
            <w:tcW w:w="1924" w:type="pct"/>
          </w:tcPr>
          <w:p w14:paraId="19589034" w14:textId="77777777" w:rsidR="009D0685" w:rsidRDefault="009D0685" w:rsidP="004D42CC">
            <w:pPr>
              <w:pStyle w:val="TitlePagetext"/>
            </w:pPr>
            <w:r>
              <w:t>Description of proposal</w:t>
            </w:r>
          </w:p>
        </w:tc>
        <w:tc>
          <w:tcPr>
            <w:tcW w:w="3076" w:type="pct"/>
          </w:tcPr>
          <w:p w14:paraId="75A0EBF6" w14:textId="41E48977" w:rsidR="009D0685" w:rsidRPr="00851E10" w:rsidRDefault="001C492F" w:rsidP="004D42CC">
            <w:pPr>
              <w:pStyle w:val="TitlePagetext"/>
            </w:pPr>
            <w:r>
              <w:t xml:space="preserve">To amend a permit for a caretaker’s residence by converting two offices in the building </w:t>
            </w:r>
            <w:r w:rsidR="00C95677">
              <w:t>into bedrooms with a waiver of one car parking space.</w:t>
            </w:r>
          </w:p>
        </w:tc>
      </w:tr>
      <w:tr w:rsidR="009D0685" w14:paraId="766630A5" w14:textId="77777777" w:rsidTr="004D42CC">
        <w:trPr>
          <w:cantSplit/>
        </w:trPr>
        <w:tc>
          <w:tcPr>
            <w:tcW w:w="1924" w:type="pct"/>
          </w:tcPr>
          <w:p w14:paraId="5E395D90" w14:textId="77777777" w:rsidR="009D0685" w:rsidRDefault="009D0685" w:rsidP="004D42CC">
            <w:pPr>
              <w:pStyle w:val="TitlePagetext"/>
            </w:pPr>
            <w:r>
              <w:t>Nature of proceeding</w:t>
            </w:r>
          </w:p>
        </w:tc>
        <w:tc>
          <w:tcPr>
            <w:tcW w:w="3076" w:type="pct"/>
          </w:tcPr>
          <w:p w14:paraId="5EAEE3CE" w14:textId="6211F2CA" w:rsidR="009D0685" w:rsidRPr="00851E10" w:rsidRDefault="009D0685" w:rsidP="00C95677">
            <w:pPr>
              <w:pStyle w:val="TitlePagetext"/>
            </w:pPr>
            <w:r>
              <w:t>Application under section 7</w:t>
            </w:r>
            <w:r w:rsidR="00C95677">
              <w:t>2</w:t>
            </w:r>
            <w:r>
              <w:t xml:space="preserve"> of the </w:t>
            </w:r>
            <w:r>
              <w:rPr>
                <w:i/>
              </w:rPr>
              <w:t xml:space="preserve">Planning and Environment Act </w:t>
            </w:r>
            <w:r w:rsidRPr="002B7051">
              <w:rPr>
                <w:i/>
              </w:rPr>
              <w:t>1987</w:t>
            </w:r>
            <w:r>
              <w:t xml:space="preserve"> – to review the refusal to grant a permit. </w:t>
            </w:r>
          </w:p>
        </w:tc>
      </w:tr>
      <w:tr w:rsidR="009D0685" w14:paraId="0DE5447D" w14:textId="77777777" w:rsidTr="004D42CC">
        <w:trPr>
          <w:cantSplit/>
        </w:trPr>
        <w:tc>
          <w:tcPr>
            <w:tcW w:w="1924" w:type="pct"/>
          </w:tcPr>
          <w:p w14:paraId="49652FD7" w14:textId="77777777" w:rsidR="009D0685" w:rsidRPr="005C699E" w:rsidRDefault="009D0685" w:rsidP="004D42CC">
            <w:pPr>
              <w:pStyle w:val="TitlePagetext"/>
            </w:pPr>
            <w:r>
              <w:t>Planning scheme</w:t>
            </w:r>
          </w:p>
        </w:tc>
        <w:tc>
          <w:tcPr>
            <w:tcW w:w="3076" w:type="pct"/>
          </w:tcPr>
          <w:p w14:paraId="49E9155C" w14:textId="16A42B77" w:rsidR="009D0685" w:rsidRPr="00851E10" w:rsidRDefault="00C95677" w:rsidP="004D42CC">
            <w:pPr>
              <w:pStyle w:val="TitlePagetext"/>
            </w:pPr>
            <w:r>
              <w:t>Monash Planning Scheme</w:t>
            </w:r>
          </w:p>
        </w:tc>
      </w:tr>
      <w:tr w:rsidR="009D0685" w14:paraId="2A19D985" w14:textId="77777777" w:rsidTr="004D42CC">
        <w:trPr>
          <w:cantSplit/>
        </w:trPr>
        <w:tc>
          <w:tcPr>
            <w:tcW w:w="1924" w:type="pct"/>
          </w:tcPr>
          <w:p w14:paraId="2F812FA0" w14:textId="77777777" w:rsidR="009D0685" w:rsidRDefault="009D0685" w:rsidP="004D42CC">
            <w:pPr>
              <w:pStyle w:val="TitlePagetext"/>
            </w:pPr>
            <w:r w:rsidRPr="005C699E">
              <w:t xml:space="preserve">Zone and </w:t>
            </w:r>
            <w:r>
              <w:t>o</w:t>
            </w:r>
            <w:r w:rsidRPr="005C699E">
              <w:t>verlays</w:t>
            </w:r>
          </w:p>
        </w:tc>
        <w:tc>
          <w:tcPr>
            <w:tcW w:w="3076" w:type="pct"/>
          </w:tcPr>
          <w:p w14:paraId="5DD8BA32" w14:textId="77777777" w:rsidR="009D0685" w:rsidRDefault="00C95677" w:rsidP="004D42CC">
            <w:pPr>
              <w:pStyle w:val="TitlePagetext"/>
            </w:pPr>
            <w:r>
              <w:t>Industrial 1 Zone</w:t>
            </w:r>
          </w:p>
          <w:p w14:paraId="0A0CDA28" w14:textId="666E074C" w:rsidR="00C95677" w:rsidRPr="00851E10" w:rsidRDefault="00C95677" w:rsidP="004D42CC">
            <w:pPr>
              <w:pStyle w:val="TitlePagetext"/>
            </w:pPr>
            <w:r>
              <w:t>Design and Development Overlay Schedule 1.</w:t>
            </w:r>
          </w:p>
        </w:tc>
      </w:tr>
      <w:tr w:rsidR="009D0685" w14:paraId="1ABA6341" w14:textId="77777777" w:rsidTr="004D42CC">
        <w:trPr>
          <w:cantSplit/>
        </w:trPr>
        <w:tc>
          <w:tcPr>
            <w:tcW w:w="1924" w:type="pct"/>
          </w:tcPr>
          <w:p w14:paraId="3CBA8481" w14:textId="77777777" w:rsidR="009D0685" w:rsidRPr="005C699E" w:rsidRDefault="009D0685" w:rsidP="004D42CC">
            <w:pPr>
              <w:pStyle w:val="TitlePagetext"/>
            </w:pPr>
            <w:r>
              <w:t>Permit requirements</w:t>
            </w:r>
          </w:p>
        </w:tc>
        <w:tc>
          <w:tcPr>
            <w:tcW w:w="3076" w:type="pct"/>
          </w:tcPr>
          <w:p w14:paraId="5A7A23C0" w14:textId="13D764AF" w:rsidR="009D0685" w:rsidRPr="00851E10" w:rsidRDefault="00C95677" w:rsidP="004D42CC">
            <w:pPr>
              <w:pStyle w:val="TitlePagetext"/>
            </w:pPr>
            <w:r>
              <w:t>Clause 31.01-1:  to use land for a caretaker’s residence.</w:t>
            </w:r>
          </w:p>
        </w:tc>
      </w:tr>
      <w:tr w:rsidR="009D0685" w14:paraId="0F4CD6F8" w14:textId="77777777" w:rsidTr="004D42CC">
        <w:trPr>
          <w:cantSplit/>
        </w:trPr>
        <w:tc>
          <w:tcPr>
            <w:tcW w:w="1924" w:type="pct"/>
          </w:tcPr>
          <w:p w14:paraId="7B7E7AAB" w14:textId="77777777" w:rsidR="009D0685" w:rsidRDefault="009D0685" w:rsidP="004D42CC">
            <w:pPr>
              <w:pStyle w:val="TitlePagetext"/>
            </w:pPr>
            <w:r>
              <w:t>Relevant scheme policies and provisions</w:t>
            </w:r>
          </w:p>
        </w:tc>
        <w:tc>
          <w:tcPr>
            <w:tcW w:w="3076" w:type="pct"/>
          </w:tcPr>
          <w:p w14:paraId="3E34EBF4" w14:textId="4135C0AC" w:rsidR="009D0685" w:rsidRPr="00851E10" w:rsidRDefault="00C95677" w:rsidP="004D42CC">
            <w:pPr>
              <w:pStyle w:val="TitlePagetext"/>
            </w:pPr>
            <w:r>
              <w:t>Clauses 11, 13, 15, 18, 22.03, 31.01, 52.06, 65 &amp; 71.02.</w:t>
            </w:r>
            <w:r w:rsidR="009D0685">
              <w:t xml:space="preserve">   </w:t>
            </w:r>
          </w:p>
        </w:tc>
      </w:tr>
      <w:tr w:rsidR="009D0685" w14:paraId="461EA780" w14:textId="77777777" w:rsidTr="004D42CC">
        <w:trPr>
          <w:cantSplit/>
        </w:trPr>
        <w:tc>
          <w:tcPr>
            <w:tcW w:w="1924" w:type="pct"/>
          </w:tcPr>
          <w:p w14:paraId="11DFAE14" w14:textId="77777777" w:rsidR="009D0685" w:rsidRDefault="009D0685" w:rsidP="004D42CC">
            <w:pPr>
              <w:pStyle w:val="TitlePagetext"/>
            </w:pPr>
            <w:r>
              <w:t>Land description</w:t>
            </w:r>
          </w:p>
        </w:tc>
        <w:tc>
          <w:tcPr>
            <w:tcW w:w="3076" w:type="pct"/>
          </w:tcPr>
          <w:p w14:paraId="4D2601C4" w14:textId="73498DCA" w:rsidR="009D0685" w:rsidRPr="00851E10" w:rsidRDefault="00C95677" w:rsidP="004D42CC">
            <w:pPr>
              <w:pStyle w:val="TitlePagetext"/>
            </w:pPr>
            <w:r>
              <w:t xml:space="preserve">This rectangular site is on the north side of Edinburgh Street in an industrial area north of Carnish Road.  It has a 21.8 metre frontage, a 38.5 metre depth and an area of </w:t>
            </w:r>
            <w:r w:rsidR="001573B0">
              <w:t>839 square metres.  A glazing business occupies the building on the site.</w:t>
            </w:r>
          </w:p>
        </w:tc>
      </w:tr>
    </w:tbl>
    <w:p w14:paraId="04EF3FBC" w14:textId="77777777" w:rsidR="009D0685" w:rsidRDefault="009D0685" w:rsidP="009D0685">
      <w:pPr>
        <w:pStyle w:val="Order1"/>
      </w:pPr>
    </w:p>
    <w:p w14:paraId="696CB642" w14:textId="15696F0B" w:rsidR="00361EF0" w:rsidRDefault="00361EF0" w:rsidP="00361EF0">
      <w:pPr>
        <w:pStyle w:val="Heading1"/>
      </w:pPr>
      <w:r>
        <w:br w:type="page"/>
      </w:r>
      <w:r w:rsidR="003123D2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8D5B40B" wp14:editId="076EB9F8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3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Re</w:t>
      </w:r>
      <w:r w:rsidR="001573B0">
        <w:t>mark</w:t>
      </w:r>
      <w:r>
        <w:t>s</w:t>
      </w:r>
    </w:p>
    <w:p w14:paraId="0A98ED34" w14:textId="77777777" w:rsidR="00495762" w:rsidRDefault="00495762" w:rsidP="0034213D"/>
    <w:p w14:paraId="27D09499" w14:textId="1DF6A2FD" w:rsidR="00467B86" w:rsidRDefault="001573B0" w:rsidP="0016093F">
      <w:pPr>
        <w:pStyle w:val="Para1"/>
      </w:pPr>
      <w:r>
        <w:t>Mr Kerr (‘the applicant’) operates a glazing business from 7 Edinburgh Street, Oakleigh South.  The site has a permit for a caretaker’s residence (</w:t>
      </w:r>
      <w:r w:rsidRPr="001573B0">
        <w:t>TPA/45941</w:t>
      </w:r>
      <w:r>
        <w:t>), which allows one of the building’s internal offices to be used as a bedroom.</w:t>
      </w:r>
      <w:r w:rsidR="00A050DF">
        <w:t xml:space="preserve">  A</w:t>
      </w:r>
      <w:r w:rsidR="00A050DF">
        <w:t>t the time that the permit was granted</w:t>
      </w:r>
      <w:r w:rsidR="00A050DF">
        <w:t>, a business providing 24 hour per day, 7 day per week emergency glazing repairs occupied the site.</w:t>
      </w:r>
    </w:p>
    <w:p w14:paraId="7F10910A" w14:textId="49F0B1ED" w:rsidR="001573B0" w:rsidRDefault="001573B0" w:rsidP="0016093F">
      <w:pPr>
        <w:pStyle w:val="Para1"/>
      </w:pPr>
      <w:r>
        <w:t xml:space="preserve">Mr Kerr seeks an amendment to this permit </w:t>
      </w:r>
      <w:r w:rsidR="00A050DF">
        <w:t>so that</w:t>
      </w:r>
      <w:r>
        <w:t xml:space="preserve"> two additional offices </w:t>
      </w:r>
      <w:r w:rsidR="00A050DF">
        <w:t>can</w:t>
      </w:r>
      <w:r>
        <w:t xml:space="preserve"> be converted into bedrooms</w:t>
      </w:r>
      <w:r w:rsidR="00A050DF">
        <w:t xml:space="preserve"> to </w:t>
      </w:r>
      <w:r>
        <w:t xml:space="preserve">provide accommodation for his family.  Mr Kerr advises that he often works until 9pm and is called out </w:t>
      </w:r>
      <w:r>
        <w:t xml:space="preserve">occasionally </w:t>
      </w:r>
      <w:r>
        <w:t xml:space="preserve">at night for emergency </w:t>
      </w:r>
      <w:r w:rsidR="00A050DF">
        <w:t xml:space="preserve">glazing </w:t>
      </w:r>
      <w:r>
        <w:t xml:space="preserve">repairs. </w:t>
      </w:r>
    </w:p>
    <w:p w14:paraId="0E1EF5DE" w14:textId="2DDA7532" w:rsidR="00A050DF" w:rsidRDefault="00A050DF" w:rsidP="00A050DF">
      <w:pPr>
        <w:pStyle w:val="Para1"/>
      </w:pPr>
      <w:r>
        <w:t>The council refused to amend the permit saying, amongst other things, that Mr Kerr had not demonstrated a nexus (a legitimate connection) between his business and the expanded caretaker’s residence.</w:t>
      </w:r>
    </w:p>
    <w:p w14:paraId="5D002451" w14:textId="60BE846E" w:rsidR="00A050DF" w:rsidRDefault="00A050DF" w:rsidP="00A050DF">
      <w:pPr>
        <w:pStyle w:val="Para1"/>
      </w:pPr>
      <w:r>
        <w:t>I made my decision and gave my reasons orally at the end of the hearing.  A summary of these reasons follows.</w:t>
      </w:r>
    </w:p>
    <w:p w14:paraId="16918E44" w14:textId="434143F7" w:rsidR="00D15538" w:rsidRDefault="00A050DF" w:rsidP="00D15538">
      <w:pPr>
        <w:pStyle w:val="Para1"/>
      </w:pPr>
      <w:r>
        <w:t xml:space="preserve">I uphold the council’s position because the existing permit is intentionally restrictive.  </w:t>
      </w:r>
      <w:r w:rsidR="00D15538">
        <w:t>A single</w:t>
      </w:r>
      <w:r>
        <w:t xml:space="preserve"> bedroom </w:t>
      </w:r>
      <w:r w:rsidR="00D15538">
        <w:t xml:space="preserve">in this small factory unit </w:t>
      </w:r>
      <w:r>
        <w:t>limits the</w:t>
      </w:r>
      <w:r w:rsidR="00D15538">
        <w:t xml:space="preserve"> number of people living at the site.  In effect, it ties the occupant of that room to the business and makes the legitimate connection required by the planning scheme.</w:t>
      </w:r>
      <w:r w:rsidR="00D15538" w:rsidRPr="00D15538">
        <w:t xml:space="preserve"> </w:t>
      </w:r>
      <w:r w:rsidR="00D15538">
        <w:t xml:space="preserve"> </w:t>
      </w:r>
      <w:r w:rsidR="00D15538">
        <w:t>This restriction is appropriate given that the planning system pr</w:t>
      </w:r>
      <w:r w:rsidR="00D15538">
        <w:t>o</w:t>
      </w:r>
      <w:r w:rsidR="00D15538">
        <w:t>hibits any other form of accommodation in the Industrial 1 Zone.</w:t>
      </w:r>
    </w:p>
    <w:p w14:paraId="4697CCE8" w14:textId="71E594C0" w:rsidR="00D15538" w:rsidRDefault="00D15538" w:rsidP="00A050DF">
      <w:pPr>
        <w:pStyle w:val="Para1"/>
      </w:pPr>
      <w:r>
        <w:t xml:space="preserve">The amendment that Mr Kerr proposes would alter this situation.  In effect, it would </w:t>
      </w:r>
      <w:r w:rsidR="00F412A6">
        <w:t>become</w:t>
      </w:r>
      <w:r>
        <w:t xml:space="preserve"> a </w:t>
      </w:r>
      <w:r w:rsidR="00F412A6">
        <w:t xml:space="preserve">dwelling </w:t>
      </w:r>
      <w:r>
        <w:t>for his family while he worked in the business.</w:t>
      </w:r>
    </w:p>
    <w:p w14:paraId="1F8E3F58" w14:textId="77777777" w:rsidR="003123D2" w:rsidRDefault="00F412A6" w:rsidP="00A050DF">
      <w:pPr>
        <w:pStyle w:val="Para1"/>
      </w:pPr>
      <w:r>
        <w:t xml:space="preserve">The planning scheme </w:t>
      </w:r>
      <w:r w:rsidR="003123D2">
        <w:t xml:space="preserve">intentionally </w:t>
      </w:r>
      <w:r>
        <w:t xml:space="preserve">prohibits </w:t>
      </w:r>
      <w:r w:rsidR="003123D2">
        <w:t>this.  I</w:t>
      </w:r>
      <w:r>
        <w:t>n</w:t>
      </w:r>
      <w:r w:rsidR="003123D2">
        <w:t xml:space="preserve">dustrial areas are separated from residential areas so that the noise, smells and hazards that can occur during industrial processes are not constrained by residential standards of amenity.  </w:t>
      </w:r>
    </w:p>
    <w:p w14:paraId="3AB72D35" w14:textId="5842DDA3" w:rsidR="00D15538" w:rsidRDefault="003123D2" w:rsidP="00A050DF">
      <w:pPr>
        <w:pStyle w:val="Para1"/>
      </w:pPr>
      <w:r>
        <w:t xml:space="preserve">The Industrial 1 Zone allows manufacturing businesses to operate </w:t>
      </w:r>
      <w:r>
        <w:t>24 hour per day, 7 day per week</w:t>
      </w:r>
      <w:r>
        <w:t xml:space="preserve"> without a permit.  This could not occur in a residential area were low levels of </w:t>
      </w:r>
      <w:r>
        <w:t xml:space="preserve">noise </w:t>
      </w:r>
      <w:r>
        <w:t>and hazard are entrenched through community expectation and environmental legislation.</w:t>
      </w:r>
    </w:p>
    <w:p w14:paraId="07E1679C" w14:textId="77777777" w:rsidR="00467B86" w:rsidRDefault="00467B86" w:rsidP="0034213D"/>
    <w:p w14:paraId="6D507DB9" w14:textId="77777777" w:rsidR="00167876" w:rsidRDefault="00167876" w:rsidP="00361EF0"/>
    <w:p w14:paraId="43F408EF" w14:textId="77777777" w:rsidR="00EE5E8E" w:rsidRDefault="00EE5E8E" w:rsidP="00361EF0"/>
    <w:p w14:paraId="040793DE" w14:textId="77777777" w:rsidR="009D0685" w:rsidRDefault="009D0685" w:rsidP="009D0685"/>
    <w:tbl>
      <w:tblPr>
        <w:tblW w:w="5000" w:type="pct"/>
        <w:tblLook w:val="0000" w:firstRow="0" w:lastRow="0" w:firstColumn="0" w:lastColumn="0" w:noHBand="0" w:noVBand="0"/>
      </w:tblPr>
      <w:tblGrid>
        <w:gridCol w:w="2976"/>
        <w:gridCol w:w="2552"/>
        <w:gridCol w:w="2977"/>
      </w:tblGrid>
      <w:tr w:rsidR="009D0685" w14:paraId="0803C2E5" w14:textId="77777777" w:rsidTr="004D42CC">
        <w:tc>
          <w:tcPr>
            <w:tcW w:w="1750" w:type="pct"/>
          </w:tcPr>
          <w:p w14:paraId="1357EBDB" w14:textId="77777777" w:rsidR="001C492F" w:rsidRPr="00B876A2" w:rsidRDefault="001C492F" w:rsidP="001C492F">
            <w:pPr>
              <w:rPr>
                <w:b/>
              </w:rPr>
            </w:pPr>
            <w:r>
              <w:rPr>
                <w:b/>
              </w:rPr>
              <w:t>Michael Nelthorpe</w:t>
            </w:r>
          </w:p>
          <w:p w14:paraId="3A4AD49A" w14:textId="77777777" w:rsidR="009D0685" w:rsidRDefault="009D0685" w:rsidP="004D42CC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Member</w:t>
            </w:r>
          </w:p>
        </w:tc>
        <w:tc>
          <w:tcPr>
            <w:tcW w:w="1500" w:type="pct"/>
          </w:tcPr>
          <w:p w14:paraId="63CAEC2A" w14:textId="77777777" w:rsidR="009D0685" w:rsidRDefault="009D0685" w:rsidP="004D42CC"/>
        </w:tc>
        <w:tc>
          <w:tcPr>
            <w:tcW w:w="1750" w:type="pct"/>
          </w:tcPr>
          <w:p w14:paraId="7AD2E763" w14:textId="77777777" w:rsidR="009D0685" w:rsidRDefault="009D0685" w:rsidP="004D42CC"/>
        </w:tc>
      </w:tr>
    </w:tbl>
    <w:p w14:paraId="13587D79" w14:textId="77777777" w:rsidR="009D0685" w:rsidRDefault="009D0685" w:rsidP="009D0685"/>
    <w:p w14:paraId="44D239DD" w14:textId="77777777" w:rsidR="00167876" w:rsidRDefault="00167876" w:rsidP="0079593A"/>
    <w:p w14:paraId="100949B3" w14:textId="77777777" w:rsidR="00D616BA" w:rsidRDefault="00D616BA" w:rsidP="00467B86"/>
    <w:sectPr w:rsidR="00D616BA">
      <w:footerReference w:type="default" r:id="rId9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75933" w14:textId="77777777" w:rsidR="0093520C" w:rsidRDefault="0093520C">
      <w:r>
        <w:separator/>
      </w:r>
    </w:p>
  </w:endnote>
  <w:endnote w:type="continuationSeparator" w:id="0">
    <w:p w14:paraId="4B7E0006" w14:textId="77777777" w:rsidR="0093520C" w:rsidRDefault="0093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7F601B" w14:paraId="4E4C8902" w14:textId="77777777">
      <w:trPr>
        <w:cantSplit/>
      </w:trPr>
      <w:tc>
        <w:tcPr>
          <w:tcW w:w="3884" w:type="pct"/>
        </w:tcPr>
        <w:p w14:paraId="478B39B1" w14:textId="0FB2ADFD" w:rsidR="007F601B" w:rsidRDefault="007F601B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20" w:name="FooterDescription"/>
          <w:bookmarkStart w:id="21" w:name="FooterFileNo1"/>
          <w:bookmarkEnd w:id="20"/>
          <w:bookmarkEnd w:id="21"/>
          <w:r>
            <w:rPr>
              <w:rFonts w:cs="Arial"/>
              <w:sz w:val="18"/>
              <w:szCs w:val="18"/>
            </w:rPr>
            <w:t xml:space="preserve">VCAT Reference No. </w:t>
          </w:r>
          <w:r w:rsidR="001573B0">
            <w:rPr>
              <w:rFonts w:cs="Arial"/>
              <w:sz w:val="18"/>
              <w:szCs w:val="18"/>
            </w:rPr>
            <w:t>P857/2020</w:t>
          </w:r>
        </w:p>
      </w:tc>
      <w:tc>
        <w:tcPr>
          <w:tcW w:w="1116" w:type="pct"/>
        </w:tcPr>
        <w:p w14:paraId="43311DAF" w14:textId="77777777" w:rsidR="007F601B" w:rsidRDefault="007F601B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427A16">
            <w:rPr>
              <w:rFonts w:cs="Arial"/>
              <w:noProof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427A16">
            <w:rPr>
              <w:rFonts w:cs="Arial"/>
              <w:noProof/>
              <w:sz w:val="18"/>
              <w:szCs w:val="18"/>
            </w:rPr>
            <w:t>4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6930E1AC" w14:textId="77777777" w:rsidR="007F601B" w:rsidRDefault="007F601B">
    <w:pPr>
      <w:pStyle w:val="Footer"/>
      <w:rPr>
        <w:sz w:val="2"/>
      </w:rPr>
    </w:pPr>
  </w:p>
  <w:p w14:paraId="134E7C6C" w14:textId="77777777" w:rsidR="007F601B" w:rsidRDefault="007F601B">
    <w:pPr>
      <w:rPr>
        <w:sz w:val="2"/>
      </w:rPr>
    </w:pPr>
  </w:p>
  <w:p w14:paraId="4507F527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D0F66" w14:textId="77777777" w:rsidR="0093520C" w:rsidRDefault="0093520C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57ED5479" w14:textId="77777777" w:rsidR="0093520C" w:rsidRDefault="00935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CE9239F4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ysAWiF4e9TMK9sm0NEBlevEWhcaiW/DXdXU+HcGyTORA9kmHfrG7BMztlQ8jbMgAE7HjflkBMhw2rtwzZxyA1g==" w:salt="njGRQWIaZI8lhiGnG6xsiQ==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93520C"/>
    <w:rsid w:val="0001113F"/>
    <w:rsid w:val="00027F01"/>
    <w:rsid w:val="00061FEB"/>
    <w:rsid w:val="00062780"/>
    <w:rsid w:val="00063C31"/>
    <w:rsid w:val="000854CC"/>
    <w:rsid w:val="000945F9"/>
    <w:rsid w:val="00094A20"/>
    <w:rsid w:val="000F4E28"/>
    <w:rsid w:val="00124C1E"/>
    <w:rsid w:val="00152541"/>
    <w:rsid w:val="001567AE"/>
    <w:rsid w:val="001573B0"/>
    <w:rsid w:val="0016093F"/>
    <w:rsid w:val="00163377"/>
    <w:rsid w:val="00167876"/>
    <w:rsid w:val="001708C4"/>
    <w:rsid w:val="0018330C"/>
    <w:rsid w:val="001C492F"/>
    <w:rsid w:val="001E49C7"/>
    <w:rsid w:val="001F2D3D"/>
    <w:rsid w:val="0020467C"/>
    <w:rsid w:val="0023472F"/>
    <w:rsid w:val="0028144B"/>
    <w:rsid w:val="0028244B"/>
    <w:rsid w:val="00290F9B"/>
    <w:rsid w:val="00293A03"/>
    <w:rsid w:val="002A47E1"/>
    <w:rsid w:val="002A52E0"/>
    <w:rsid w:val="002B7051"/>
    <w:rsid w:val="002D05B6"/>
    <w:rsid w:val="002F27B5"/>
    <w:rsid w:val="003123D2"/>
    <w:rsid w:val="00312D8A"/>
    <w:rsid w:val="0031301B"/>
    <w:rsid w:val="0032102D"/>
    <w:rsid w:val="0034213D"/>
    <w:rsid w:val="00361E5C"/>
    <w:rsid w:val="00361EF0"/>
    <w:rsid w:val="003813E9"/>
    <w:rsid w:val="003B5E75"/>
    <w:rsid w:val="003D546E"/>
    <w:rsid w:val="003D7278"/>
    <w:rsid w:val="003E11C8"/>
    <w:rsid w:val="00427A16"/>
    <w:rsid w:val="00434BAA"/>
    <w:rsid w:val="00467B86"/>
    <w:rsid w:val="00477574"/>
    <w:rsid w:val="004908EE"/>
    <w:rsid w:val="004919B5"/>
    <w:rsid w:val="00495762"/>
    <w:rsid w:val="004B3605"/>
    <w:rsid w:val="004C272B"/>
    <w:rsid w:val="004C5296"/>
    <w:rsid w:val="004D2122"/>
    <w:rsid w:val="004F54C1"/>
    <w:rsid w:val="00507771"/>
    <w:rsid w:val="00510802"/>
    <w:rsid w:val="005628C9"/>
    <w:rsid w:val="0058084D"/>
    <w:rsid w:val="0059145F"/>
    <w:rsid w:val="005B3D5D"/>
    <w:rsid w:val="005D408F"/>
    <w:rsid w:val="005D6C47"/>
    <w:rsid w:val="005D77CE"/>
    <w:rsid w:val="005E1511"/>
    <w:rsid w:val="005E2D20"/>
    <w:rsid w:val="005E4824"/>
    <w:rsid w:val="005F6FDD"/>
    <w:rsid w:val="00604881"/>
    <w:rsid w:val="00647F43"/>
    <w:rsid w:val="0065338E"/>
    <w:rsid w:val="00680AFF"/>
    <w:rsid w:val="00682C14"/>
    <w:rsid w:val="006C7549"/>
    <w:rsid w:val="006E7914"/>
    <w:rsid w:val="00705098"/>
    <w:rsid w:val="00726365"/>
    <w:rsid w:val="007301D6"/>
    <w:rsid w:val="00763504"/>
    <w:rsid w:val="00764EDD"/>
    <w:rsid w:val="00776999"/>
    <w:rsid w:val="0079593A"/>
    <w:rsid w:val="00796305"/>
    <w:rsid w:val="007D487A"/>
    <w:rsid w:val="007F00B8"/>
    <w:rsid w:val="007F601B"/>
    <w:rsid w:val="007F77A1"/>
    <w:rsid w:val="008128BB"/>
    <w:rsid w:val="00812BED"/>
    <w:rsid w:val="00812EEA"/>
    <w:rsid w:val="008265B7"/>
    <w:rsid w:val="00830459"/>
    <w:rsid w:val="0084488B"/>
    <w:rsid w:val="0084497D"/>
    <w:rsid w:val="008602F8"/>
    <w:rsid w:val="008832E0"/>
    <w:rsid w:val="008A247D"/>
    <w:rsid w:val="008A46EC"/>
    <w:rsid w:val="008A5793"/>
    <w:rsid w:val="008C1674"/>
    <w:rsid w:val="00924205"/>
    <w:rsid w:val="00926A96"/>
    <w:rsid w:val="00932AF9"/>
    <w:rsid w:val="0093520C"/>
    <w:rsid w:val="0094148C"/>
    <w:rsid w:val="00956463"/>
    <w:rsid w:val="009804A9"/>
    <w:rsid w:val="00993294"/>
    <w:rsid w:val="009C06C7"/>
    <w:rsid w:val="009D0685"/>
    <w:rsid w:val="00A050DF"/>
    <w:rsid w:val="00A150D3"/>
    <w:rsid w:val="00A30D6A"/>
    <w:rsid w:val="00A35800"/>
    <w:rsid w:val="00A53783"/>
    <w:rsid w:val="00AA587E"/>
    <w:rsid w:val="00AB29FA"/>
    <w:rsid w:val="00B134F7"/>
    <w:rsid w:val="00B160AF"/>
    <w:rsid w:val="00B24B9B"/>
    <w:rsid w:val="00B30FB4"/>
    <w:rsid w:val="00B36ACB"/>
    <w:rsid w:val="00B371E4"/>
    <w:rsid w:val="00B876A2"/>
    <w:rsid w:val="00BA1951"/>
    <w:rsid w:val="00BB7851"/>
    <w:rsid w:val="00BC219D"/>
    <w:rsid w:val="00C10388"/>
    <w:rsid w:val="00C26EBF"/>
    <w:rsid w:val="00C7408F"/>
    <w:rsid w:val="00C95677"/>
    <w:rsid w:val="00CA2144"/>
    <w:rsid w:val="00CA2642"/>
    <w:rsid w:val="00CC19B1"/>
    <w:rsid w:val="00CC6FF1"/>
    <w:rsid w:val="00CD1F2A"/>
    <w:rsid w:val="00D03F21"/>
    <w:rsid w:val="00D14A42"/>
    <w:rsid w:val="00D15538"/>
    <w:rsid w:val="00D23389"/>
    <w:rsid w:val="00D24AFE"/>
    <w:rsid w:val="00D24B15"/>
    <w:rsid w:val="00D6081F"/>
    <w:rsid w:val="00D616BA"/>
    <w:rsid w:val="00D64D3E"/>
    <w:rsid w:val="00DC7C16"/>
    <w:rsid w:val="00DD240D"/>
    <w:rsid w:val="00E002C5"/>
    <w:rsid w:val="00E215EE"/>
    <w:rsid w:val="00E22A2C"/>
    <w:rsid w:val="00E62037"/>
    <w:rsid w:val="00E769A5"/>
    <w:rsid w:val="00EA5010"/>
    <w:rsid w:val="00EA5975"/>
    <w:rsid w:val="00ED56ED"/>
    <w:rsid w:val="00EE5E8E"/>
    <w:rsid w:val="00F338E1"/>
    <w:rsid w:val="00F412A6"/>
    <w:rsid w:val="00F55C68"/>
    <w:rsid w:val="00F60617"/>
    <w:rsid w:val="00F773CF"/>
    <w:rsid w:val="00F9058C"/>
    <w:rsid w:val="00F9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8503B9"/>
  <w15:chartTrackingRefBased/>
  <w15:docId w15:val="{CF224C27-1B21-4252-906E-EA150446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81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CSV\HomeDirs3\MNelthor\Desktop\Decision%20Template%202016%20(AutoTex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9FC70-1E52-434C-8D33-72691988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Decision Template 2016 (AutoText).dotx</Template>
  <TotalTime>61</TotalTime>
  <Pages>3</Pages>
  <Words>587</Words>
  <Characters>3142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Michael S Nelthorpe (CSV)</dc:creator>
  <cp:keywords/>
  <dc:description/>
  <cp:lastModifiedBy>Michael S Nelthorpe (CSV)</cp:lastModifiedBy>
  <cp:revision>3</cp:revision>
  <cp:lastPrinted>2016-10-05T18:04:00Z</cp:lastPrinted>
  <dcterms:created xsi:type="dcterms:W3CDTF">2020-09-21T03:57:00Z</dcterms:created>
  <dcterms:modified xsi:type="dcterms:W3CDTF">2020-09-21T04:58:00Z</dcterms:modified>
</cp:coreProperties>
</file>