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0CF" w:rsidRDefault="00C07264" w:rsidP="00E200CF">
      <w:pPr>
        <w:pStyle w:val="TitlePage1"/>
      </w:pPr>
      <w:r>
        <w:rPr>
          <w:noProof/>
          <w:lang w:eastAsia="en-AU"/>
        </w:rPr>
        <w:drawing>
          <wp:anchor distT="0" distB="0" distL="114300" distR="114300" simplePos="0" relativeHeight="25165824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6" name="VCAT Seal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VICTORIAN CIVIL AND ADMINISTRATIVE TRIBUNAL</w:t>
      </w:r>
    </w:p>
    <w:p w:rsidR="00E200CF" w:rsidRDefault="003E5FC0" w:rsidP="004A201D">
      <w:pPr>
        <w:pStyle w:val="TitlePage1"/>
        <w:spacing w:after="120"/>
      </w:pPr>
      <w:bookmarkStart w:id="0" w:name="Division"/>
      <w:bookmarkEnd w:id="0"/>
      <w:r>
        <w:t xml:space="preserve">planning and environment </w:t>
      </w:r>
      <w:r w:rsidR="00E200CF">
        <w:t>DIVISION</w:t>
      </w:r>
    </w:p>
    <w:tbl>
      <w:tblPr>
        <w:tblW w:w="5000" w:type="pct"/>
        <w:tblLook w:val="0000" w:firstRow="0" w:lastRow="0" w:firstColumn="0" w:lastColumn="0" w:noHBand="0" w:noVBand="0"/>
      </w:tblPr>
      <w:tblGrid>
        <w:gridCol w:w="4494"/>
        <w:gridCol w:w="4011"/>
      </w:tblGrid>
      <w:tr w:rsidR="00E200CF" w:rsidRPr="009F658E" w:rsidTr="00C963CC">
        <w:trPr>
          <w:cantSplit/>
        </w:trPr>
        <w:tc>
          <w:tcPr>
            <w:tcW w:w="2642" w:type="pct"/>
          </w:tcPr>
          <w:p w:rsidR="00E200CF" w:rsidRDefault="00E200CF" w:rsidP="00C963CC">
            <w:pPr>
              <w:pStyle w:val="TitlePage2"/>
            </w:pPr>
            <w:bookmarkStart w:id="1" w:name="SubDivision"/>
            <w:bookmarkEnd w:id="1"/>
            <w:r>
              <w:t>planning and environment LIST</w:t>
            </w:r>
          </w:p>
        </w:tc>
        <w:tc>
          <w:tcPr>
            <w:tcW w:w="2358" w:type="pct"/>
          </w:tcPr>
          <w:p w:rsidR="00E200CF" w:rsidRPr="009F658E" w:rsidRDefault="00E200CF" w:rsidP="00C963CC">
            <w:pPr>
              <w:pStyle w:val="TitlePage3"/>
            </w:pPr>
            <w:bookmarkStart w:id="2" w:name="FileNo1"/>
            <w:bookmarkEnd w:id="2"/>
            <w:r w:rsidRPr="009F658E">
              <w:t xml:space="preserve">vcat reference No. </w:t>
            </w:r>
            <w:r w:rsidR="001E1A40">
              <w:t>P651/2019</w:t>
            </w:r>
          </w:p>
          <w:p w:rsidR="00E200CF" w:rsidRPr="009F658E" w:rsidRDefault="00E200CF" w:rsidP="00C963CC">
            <w:pPr>
              <w:pStyle w:val="TitlePage3"/>
            </w:pPr>
            <w:r w:rsidRPr="009F658E">
              <w:t>Permit Application no.</w:t>
            </w:r>
            <w:r w:rsidR="001E1A40">
              <w:t>TPA/49889</w:t>
            </w:r>
            <w:r w:rsidRPr="009F658E">
              <w:t xml:space="preserve"> </w:t>
            </w:r>
          </w:p>
        </w:tc>
      </w:tr>
      <w:tr w:rsidR="00E200CF" w:rsidTr="00C963CC">
        <w:tblPrEx>
          <w:jc w:val="center"/>
        </w:tblPrEx>
        <w:trPr>
          <w:cantSplit/>
          <w:jc w:val="center"/>
        </w:trPr>
        <w:tc>
          <w:tcPr>
            <w:tcW w:w="5000" w:type="pct"/>
            <w:gridSpan w:val="2"/>
          </w:tcPr>
          <w:p w:rsidR="00E200CF" w:rsidRDefault="00E200CF" w:rsidP="00C963CC">
            <w:pPr>
              <w:pStyle w:val="TitlePage2"/>
              <w:jc w:val="center"/>
            </w:pPr>
            <w:r>
              <w:t>CATCHWORDS</w:t>
            </w:r>
          </w:p>
        </w:tc>
      </w:tr>
      <w:tr w:rsidR="00E200CF" w:rsidTr="00C963CC">
        <w:tblPrEx>
          <w:jc w:val="center"/>
        </w:tblPrEx>
        <w:trPr>
          <w:cantSplit/>
          <w:jc w:val="center"/>
        </w:trPr>
        <w:tc>
          <w:tcPr>
            <w:tcW w:w="5000" w:type="pct"/>
            <w:gridSpan w:val="2"/>
          </w:tcPr>
          <w:p w:rsidR="00E200CF" w:rsidRDefault="00AD163D" w:rsidP="00C963CC">
            <w:pPr>
              <w:pStyle w:val="Catchwords"/>
            </w:pPr>
            <w:r w:rsidRPr="00F46B51">
              <w:rPr>
                <w:sz w:val="16"/>
                <w:szCs w:val="16"/>
              </w:rPr>
              <w:t xml:space="preserve">Section </w:t>
            </w:r>
            <w:r w:rsidR="00F46B51">
              <w:rPr>
                <w:sz w:val="16"/>
                <w:szCs w:val="16"/>
              </w:rPr>
              <w:t>82</w:t>
            </w:r>
            <w:r w:rsidRPr="00F46B51">
              <w:rPr>
                <w:sz w:val="16"/>
                <w:szCs w:val="16"/>
              </w:rPr>
              <w:t xml:space="preserve"> of the </w:t>
            </w:r>
            <w:r w:rsidRPr="00F46B51">
              <w:rPr>
                <w:i/>
                <w:sz w:val="16"/>
                <w:szCs w:val="16"/>
              </w:rPr>
              <w:t>Planning &amp; Environment Act</w:t>
            </w:r>
            <w:r w:rsidRPr="00F46B51">
              <w:rPr>
                <w:sz w:val="16"/>
                <w:szCs w:val="16"/>
              </w:rPr>
              <w:t xml:space="preserve"> 1987; Monash Planning Scheme; </w:t>
            </w:r>
            <w:r w:rsidR="00F46B51">
              <w:rPr>
                <w:sz w:val="16"/>
                <w:szCs w:val="16"/>
              </w:rPr>
              <w:t xml:space="preserve">General </w:t>
            </w:r>
            <w:r w:rsidRPr="00F46B51">
              <w:rPr>
                <w:sz w:val="16"/>
                <w:szCs w:val="16"/>
              </w:rPr>
              <w:t>Residential Zone</w:t>
            </w:r>
            <w:r w:rsidR="00F46B51">
              <w:rPr>
                <w:sz w:val="16"/>
                <w:szCs w:val="16"/>
              </w:rPr>
              <w:t xml:space="preserve"> Schedule 2</w:t>
            </w:r>
            <w:r w:rsidRPr="00F46B51">
              <w:rPr>
                <w:sz w:val="16"/>
                <w:szCs w:val="16"/>
              </w:rPr>
              <w:t xml:space="preserve">; </w:t>
            </w:r>
            <w:r w:rsidR="00F46B51">
              <w:rPr>
                <w:sz w:val="16"/>
                <w:szCs w:val="16"/>
              </w:rPr>
              <w:t>M</w:t>
            </w:r>
            <w:r w:rsidRPr="00F46B51">
              <w:rPr>
                <w:sz w:val="16"/>
                <w:szCs w:val="16"/>
              </w:rPr>
              <w:t>ultiple dwellings; Policy; Neighbourhood Character; Parking</w:t>
            </w:r>
            <w:r w:rsidR="00E250B7">
              <w:rPr>
                <w:sz w:val="16"/>
                <w:szCs w:val="16"/>
              </w:rPr>
              <w:t>; Traffic</w:t>
            </w:r>
            <w:r w:rsidRPr="00F46B51">
              <w:rPr>
                <w:sz w:val="16"/>
                <w:szCs w:val="16"/>
              </w:rPr>
              <w:t xml:space="preserve">  </w:t>
            </w:r>
            <w:r w:rsidR="00E200CF" w:rsidRPr="00F46B51">
              <w:t xml:space="preserve">   </w:t>
            </w:r>
          </w:p>
        </w:tc>
      </w:tr>
    </w:tbl>
    <w:p w:rsidR="00E200CF" w:rsidRDefault="00E200CF" w:rsidP="00E200CF">
      <w:bookmarkStart w:id="3" w:name="Catchwords"/>
      <w:bookmarkEnd w:id="3"/>
    </w:p>
    <w:tbl>
      <w:tblPr>
        <w:tblW w:w="5000" w:type="pct"/>
        <w:tblLook w:val="0000" w:firstRow="0" w:lastRow="0" w:firstColumn="0" w:lastColumn="0" w:noHBand="0" w:noVBand="0"/>
      </w:tblPr>
      <w:tblGrid>
        <w:gridCol w:w="3545"/>
        <w:gridCol w:w="4960"/>
      </w:tblGrid>
      <w:tr w:rsidR="00E200CF" w:rsidTr="00C963CC">
        <w:tc>
          <w:tcPr>
            <w:tcW w:w="2084" w:type="pct"/>
          </w:tcPr>
          <w:p w:rsidR="00E200CF" w:rsidRDefault="00E200CF" w:rsidP="00C963CC">
            <w:pPr>
              <w:pStyle w:val="TitlePage2"/>
            </w:pPr>
            <w:bookmarkStart w:id="4" w:name="DELcomplainants2"/>
            <w:bookmarkStart w:id="5" w:name="DELapp"/>
            <w:bookmarkStart w:id="6" w:name="DELitmo"/>
            <w:bookmarkStart w:id="7" w:name="DELcar"/>
            <w:r>
              <w:t>APPLICANT</w:t>
            </w:r>
          </w:p>
        </w:tc>
        <w:tc>
          <w:tcPr>
            <w:tcW w:w="2916" w:type="pct"/>
          </w:tcPr>
          <w:p w:rsidR="00E200CF" w:rsidRDefault="001E1A40" w:rsidP="00C963CC">
            <w:pPr>
              <w:pStyle w:val="TitlePagetext"/>
            </w:pPr>
            <w:bookmarkStart w:id="8" w:name="Applicant"/>
            <w:bookmarkEnd w:id="8"/>
            <w:r>
              <w:t>Melissa Bell</w:t>
            </w:r>
          </w:p>
        </w:tc>
      </w:tr>
      <w:tr w:rsidR="00E200CF" w:rsidTr="00C963CC">
        <w:tc>
          <w:tcPr>
            <w:tcW w:w="2084" w:type="pct"/>
          </w:tcPr>
          <w:p w:rsidR="00E200CF" w:rsidRDefault="00E200CF" w:rsidP="00C963CC">
            <w:pPr>
              <w:pStyle w:val="TitlePage2"/>
            </w:pPr>
            <w:r>
              <w:t>responsible authority</w:t>
            </w:r>
          </w:p>
        </w:tc>
        <w:tc>
          <w:tcPr>
            <w:tcW w:w="2916" w:type="pct"/>
          </w:tcPr>
          <w:p w:rsidR="00E200CF" w:rsidRDefault="001E1A40" w:rsidP="00C963CC">
            <w:pPr>
              <w:pStyle w:val="TitlePagetext"/>
            </w:pPr>
            <w:r>
              <w:t>Monash City Council</w:t>
            </w:r>
          </w:p>
        </w:tc>
      </w:tr>
      <w:tr w:rsidR="00E200CF" w:rsidTr="00C963CC">
        <w:tc>
          <w:tcPr>
            <w:tcW w:w="2084" w:type="pct"/>
          </w:tcPr>
          <w:p w:rsidR="00E200CF" w:rsidRDefault="00E200CF" w:rsidP="00C963CC">
            <w:pPr>
              <w:pStyle w:val="TitlePage2"/>
            </w:pPr>
            <w:bookmarkStart w:id="9" w:name="DELrespondents2"/>
            <w:bookmarkEnd w:id="4"/>
            <w:bookmarkEnd w:id="5"/>
            <w:r>
              <w:t>RESPONDENT</w:t>
            </w:r>
          </w:p>
        </w:tc>
        <w:tc>
          <w:tcPr>
            <w:tcW w:w="2916" w:type="pct"/>
          </w:tcPr>
          <w:p w:rsidR="00E200CF" w:rsidRDefault="00F46B51" w:rsidP="00C963CC">
            <w:pPr>
              <w:pStyle w:val="TitlePagetext"/>
            </w:pPr>
            <w:bookmarkStart w:id="10" w:name="Respondent"/>
            <w:bookmarkEnd w:id="10"/>
            <w:r>
              <w:t>Chaengi Gow</w:t>
            </w:r>
          </w:p>
        </w:tc>
      </w:tr>
      <w:tr w:rsidR="00E200CF" w:rsidTr="00C963CC">
        <w:tc>
          <w:tcPr>
            <w:tcW w:w="2084" w:type="pct"/>
          </w:tcPr>
          <w:p w:rsidR="00E200CF" w:rsidRDefault="00E200CF" w:rsidP="00C963CC">
            <w:pPr>
              <w:pStyle w:val="TitlePage2"/>
            </w:pPr>
            <w:bookmarkStart w:id="11" w:name="DELsubjectland"/>
            <w:r>
              <w:t>SUBJECT LAND</w:t>
            </w:r>
          </w:p>
        </w:tc>
        <w:tc>
          <w:tcPr>
            <w:tcW w:w="2916" w:type="pct"/>
          </w:tcPr>
          <w:p w:rsidR="00E200CF" w:rsidRDefault="001E1A40" w:rsidP="00C963CC">
            <w:pPr>
              <w:pStyle w:val="TitlePagetext"/>
            </w:pPr>
            <w:bookmarkStart w:id="12" w:name="subjectland"/>
            <w:bookmarkEnd w:id="12"/>
            <w:r>
              <w:t>11 Wandoo Court</w:t>
            </w:r>
            <w:bookmarkStart w:id="13" w:name="_GoBack"/>
            <w:bookmarkEnd w:id="13"/>
            <w:r w:rsidR="00BD53B1">
              <w:t>,</w:t>
            </w:r>
            <w:r>
              <w:t xml:space="preserve"> Wheelers Hill</w:t>
            </w:r>
          </w:p>
        </w:tc>
      </w:tr>
      <w:tr w:rsidR="00E200CF" w:rsidTr="00C963CC">
        <w:tc>
          <w:tcPr>
            <w:tcW w:w="2084" w:type="pct"/>
          </w:tcPr>
          <w:p w:rsidR="00E200CF" w:rsidRDefault="00E200CF" w:rsidP="00C963CC">
            <w:pPr>
              <w:pStyle w:val="TitlePage2"/>
            </w:pPr>
            <w:bookmarkStart w:id="14" w:name="INSresponsibleAuthority"/>
            <w:bookmarkEnd w:id="6"/>
            <w:bookmarkEnd w:id="7"/>
            <w:bookmarkEnd w:id="9"/>
            <w:bookmarkEnd w:id="11"/>
            <w:bookmarkEnd w:id="14"/>
            <w:r>
              <w:t>WHERE HELD</w:t>
            </w:r>
          </w:p>
        </w:tc>
        <w:tc>
          <w:tcPr>
            <w:tcW w:w="2916" w:type="pct"/>
          </w:tcPr>
          <w:p w:rsidR="00E200CF" w:rsidRDefault="00E200CF" w:rsidP="00C963CC">
            <w:pPr>
              <w:pStyle w:val="TitlePagetext"/>
            </w:pPr>
            <w:bookmarkStart w:id="15" w:name="Location"/>
            <w:bookmarkEnd w:id="15"/>
            <w:r>
              <w:t>Melbourne</w:t>
            </w:r>
          </w:p>
        </w:tc>
      </w:tr>
      <w:tr w:rsidR="00E200CF" w:rsidTr="00C963CC">
        <w:tc>
          <w:tcPr>
            <w:tcW w:w="2084" w:type="pct"/>
          </w:tcPr>
          <w:p w:rsidR="00E200CF" w:rsidRDefault="00E200CF" w:rsidP="00C963CC">
            <w:pPr>
              <w:pStyle w:val="TitlePage2"/>
            </w:pPr>
            <w:r>
              <w:t>BEFORE</w:t>
            </w:r>
          </w:p>
        </w:tc>
        <w:tc>
          <w:tcPr>
            <w:tcW w:w="2916" w:type="pct"/>
          </w:tcPr>
          <w:p w:rsidR="00E200CF" w:rsidRDefault="001E1A40" w:rsidP="00C963CC">
            <w:pPr>
              <w:pStyle w:val="TitlePagetext"/>
            </w:pPr>
            <w:bookmarkStart w:id="16" w:name="Before"/>
            <w:bookmarkEnd w:id="16"/>
            <w:r>
              <w:t>Katherine Paterson, Member</w:t>
            </w:r>
          </w:p>
        </w:tc>
      </w:tr>
      <w:tr w:rsidR="00E200CF" w:rsidTr="00C963CC">
        <w:tc>
          <w:tcPr>
            <w:tcW w:w="2084" w:type="pct"/>
          </w:tcPr>
          <w:p w:rsidR="00E200CF" w:rsidRDefault="00E200CF" w:rsidP="00C963CC">
            <w:pPr>
              <w:pStyle w:val="TitlePage2"/>
            </w:pPr>
            <w:r>
              <w:t>HEARING TYPE</w:t>
            </w:r>
          </w:p>
        </w:tc>
        <w:tc>
          <w:tcPr>
            <w:tcW w:w="2916" w:type="pct"/>
          </w:tcPr>
          <w:p w:rsidR="00E200CF" w:rsidRDefault="009F658E" w:rsidP="00C963CC">
            <w:pPr>
              <w:pStyle w:val="TitlePagetext"/>
            </w:pPr>
            <w:bookmarkStart w:id="17" w:name="HearingType"/>
            <w:bookmarkEnd w:id="17"/>
            <w:r>
              <w:t xml:space="preserve">Hearing </w:t>
            </w:r>
          </w:p>
        </w:tc>
      </w:tr>
      <w:tr w:rsidR="00E200CF" w:rsidTr="00C963CC">
        <w:tc>
          <w:tcPr>
            <w:tcW w:w="2084" w:type="pct"/>
          </w:tcPr>
          <w:p w:rsidR="00E200CF" w:rsidRDefault="00E200CF" w:rsidP="00C963CC">
            <w:pPr>
              <w:pStyle w:val="TitlePage2"/>
            </w:pPr>
            <w:r>
              <w:t>DATE OF HEARING</w:t>
            </w:r>
          </w:p>
        </w:tc>
        <w:tc>
          <w:tcPr>
            <w:tcW w:w="2916" w:type="pct"/>
          </w:tcPr>
          <w:p w:rsidR="00E200CF" w:rsidRDefault="001E1A40" w:rsidP="00C963CC">
            <w:pPr>
              <w:pStyle w:val="TitlePagetext"/>
            </w:pPr>
            <w:bookmarkStart w:id="18" w:name="HearingDate"/>
            <w:bookmarkEnd w:id="18"/>
            <w:r>
              <w:t>23 September 2019</w:t>
            </w:r>
          </w:p>
        </w:tc>
      </w:tr>
      <w:tr w:rsidR="00E200CF" w:rsidTr="00C963CC">
        <w:tc>
          <w:tcPr>
            <w:tcW w:w="2084" w:type="pct"/>
          </w:tcPr>
          <w:p w:rsidR="00E200CF" w:rsidRDefault="00E200CF" w:rsidP="00C963CC">
            <w:pPr>
              <w:pStyle w:val="TitlePage2"/>
            </w:pPr>
            <w:r>
              <w:t>DATE OF ORDER</w:t>
            </w:r>
          </w:p>
        </w:tc>
        <w:tc>
          <w:tcPr>
            <w:tcW w:w="2916" w:type="pct"/>
          </w:tcPr>
          <w:p w:rsidR="00E200CF" w:rsidRDefault="004E443A" w:rsidP="00C963CC">
            <w:pPr>
              <w:pStyle w:val="TitlePagetext"/>
            </w:pPr>
            <w:bookmarkStart w:id="19" w:name="DateOrder"/>
            <w:bookmarkEnd w:id="19"/>
            <w:r>
              <w:t>12 November</w:t>
            </w:r>
            <w:r w:rsidR="00F46B51">
              <w:t xml:space="preserve"> 2019</w:t>
            </w:r>
          </w:p>
        </w:tc>
      </w:tr>
      <w:tr w:rsidR="00E200CF" w:rsidTr="00C963CC">
        <w:tc>
          <w:tcPr>
            <w:tcW w:w="2084" w:type="pct"/>
          </w:tcPr>
          <w:p w:rsidR="00E200CF" w:rsidRDefault="00E200CF" w:rsidP="00C963CC">
            <w:pPr>
              <w:pStyle w:val="TitlePage2"/>
            </w:pPr>
            <w:r>
              <w:t>CITATION</w:t>
            </w:r>
          </w:p>
        </w:tc>
        <w:tc>
          <w:tcPr>
            <w:tcW w:w="2916" w:type="pct"/>
          </w:tcPr>
          <w:p w:rsidR="00E200CF" w:rsidRDefault="00BD53B1" w:rsidP="00C963CC">
            <w:pPr>
              <w:pStyle w:val="TitlePagetext"/>
            </w:pPr>
            <w:r>
              <w:t>Bell v Monash CC [2019] VCAT 1782</w:t>
            </w:r>
            <w:r w:rsidR="00E200CF">
              <w:t xml:space="preserve">   </w:t>
            </w:r>
          </w:p>
        </w:tc>
      </w:tr>
    </w:tbl>
    <w:p w:rsidR="00E200CF" w:rsidRDefault="00E200CF" w:rsidP="00E200CF"/>
    <w:p w:rsidR="00E200CF" w:rsidRDefault="00E200CF" w:rsidP="00E200CF">
      <w:pPr>
        <w:pStyle w:val="Heading1"/>
      </w:pPr>
      <w:r>
        <w:t>Order</w:t>
      </w:r>
    </w:p>
    <w:p w:rsidR="00F46B51" w:rsidRDefault="00F46B51" w:rsidP="00F46B51">
      <w:pPr>
        <w:pStyle w:val="Order2"/>
        <w:numPr>
          <w:ilvl w:val="0"/>
          <w:numId w:val="12"/>
        </w:numPr>
        <w:rPr>
          <w:lang w:val="en-GB"/>
        </w:rPr>
      </w:pPr>
      <w:r>
        <w:rPr>
          <w:lang w:val="en-GB"/>
        </w:rPr>
        <w:t xml:space="preserve">Pursuant to clause 64 of Schedule 1 of the </w:t>
      </w:r>
      <w:r>
        <w:rPr>
          <w:i/>
          <w:lang w:val="en-GB"/>
        </w:rPr>
        <w:t xml:space="preserve">Victorian Civil &amp; Administrative Tribunal Act </w:t>
      </w:r>
      <w:r w:rsidRPr="00817F6E">
        <w:rPr>
          <w:i/>
        </w:rPr>
        <w:t>1998</w:t>
      </w:r>
      <w:r>
        <w:t xml:space="preserve"> the permit application is amended by changing the name of the permit applicant to:</w:t>
      </w:r>
    </w:p>
    <w:p w:rsidR="00F46B51" w:rsidRDefault="00F46B51" w:rsidP="00F46B51">
      <w:pPr>
        <w:pStyle w:val="Quote1"/>
        <w:rPr>
          <w:lang w:val="en-GB"/>
        </w:rPr>
      </w:pPr>
      <w:r>
        <w:t>Chaengi Gow</w:t>
      </w:r>
    </w:p>
    <w:p w:rsidR="00E200CF" w:rsidRPr="00F46B51" w:rsidRDefault="00E200CF" w:rsidP="00F46B51">
      <w:pPr>
        <w:pStyle w:val="Order2"/>
      </w:pPr>
      <w:r w:rsidRPr="00F46B51">
        <w:t xml:space="preserve">In application </w:t>
      </w:r>
      <w:r w:rsidR="00F46B51">
        <w:t>P651/2019</w:t>
      </w:r>
      <w:r w:rsidRPr="00F46B51">
        <w:t xml:space="preserve"> the decision of the responsible authority is </w:t>
      </w:r>
      <w:r w:rsidRPr="00894409">
        <w:t>varied</w:t>
      </w:r>
      <w:r w:rsidR="00894409">
        <w:t>.</w:t>
      </w:r>
    </w:p>
    <w:p w:rsidR="00E200CF" w:rsidRDefault="00E200CF" w:rsidP="00E200CF">
      <w:pPr>
        <w:pStyle w:val="Order2"/>
      </w:pPr>
      <w:r w:rsidRPr="00D977A5">
        <w:t xml:space="preserve">In planning permit application </w:t>
      </w:r>
      <w:r w:rsidR="00F46B51">
        <w:t>TPA/49889</w:t>
      </w:r>
      <w:r w:rsidRPr="00D977A5">
        <w:t xml:space="preserve"> a permit is granted and directed to be issued for the land at </w:t>
      </w:r>
      <w:r w:rsidR="00F46B51">
        <w:t>11 Wandoo Court</w:t>
      </w:r>
      <w:r w:rsidR="00BD53B1">
        <w:t>,</w:t>
      </w:r>
      <w:r w:rsidR="00F46B51">
        <w:t xml:space="preserve"> Wheelers Hill</w:t>
      </w:r>
      <w:r w:rsidRPr="00D977A5">
        <w:t xml:space="preserve"> in accordance with the endorsed plans</w:t>
      </w:r>
      <w:r w:rsidR="00F46B51">
        <w:t>.</w:t>
      </w:r>
      <w:r w:rsidRPr="00D977A5">
        <w:t xml:space="preserve">  The permit allows</w:t>
      </w:r>
      <w:r w:rsidR="00F46B51">
        <w:t xml:space="preserve"> the construction of three dwellings on a lot.  </w:t>
      </w:r>
    </w:p>
    <w:p w:rsidR="00E200CF" w:rsidRPr="00D977A5" w:rsidRDefault="00E200CF" w:rsidP="00E200CF">
      <w:pPr>
        <w:pStyle w:val="Order2"/>
      </w:pPr>
      <w:r w:rsidRPr="00D977A5">
        <w:t xml:space="preserve">The Tribunal directs that planning permit </w:t>
      </w:r>
      <w:r w:rsidR="00F46B51">
        <w:t>TPA/49889</w:t>
      </w:r>
      <w:r w:rsidR="00F46B51" w:rsidRPr="00D977A5">
        <w:t xml:space="preserve"> </w:t>
      </w:r>
      <w:r w:rsidRPr="00D977A5">
        <w:t xml:space="preserve">must contain the conditions set out in </w:t>
      </w:r>
      <w:r w:rsidR="00F46B51">
        <w:t>Notice of Decision</w:t>
      </w:r>
      <w:r w:rsidRPr="00D977A5">
        <w:t xml:space="preserve"> </w:t>
      </w:r>
      <w:r w:rsidR="00F46B51">
        <w:t>TPA/49889</w:t>
      </w:r>
      <w:r w:rsidR="00F46B51" w:rsidRPr="00D977A5">
        <w:t xml:space="preserve"> </w:t>
      </w:r>
      <w:r w:rsidR="00F46B51">
        <w:t>i</w:t>
      </w:r>
      <w:r w:rsidRPr="00D977A5">
        <w:t xml:space="preserve">ssued by the responsible authority on </w:t>
      </w:r>
      <w:r w:rsidR="00FC1E0D">
        <w:t>15 March 2019</w:t>
      </w:r>
      <w:r w:rsidRPr="00D977A5">
        <w:t xml:space="preserve"> with the following modifications:</w:t>
      </w:r>
    </w:p>
    <w:p w:rsidR="00E200CF" w:rsidRDefault="00E200CF" w:rsidP="00E200CF">
      <w:pPr>
        <w:pStyle w:val="Order2"/>
        <w:numPr>
          <w:ilvl w:val="1"/>
          <w:numId w:val="8"/>
        </w:numPr>
      </w:pPr>
      <w:r w:rsidRPr="0094083D">
        <w:t xml:space="preserve">Condition </w:t>
      </w:r>
      <w:r w:rsidR="0094083D">
        <w:t>7</w:t>
      </w:r>
      <w:r w:rsidRPr="0094083D">
        <w:t xml:space="preserve"> is</w:t>
      </w:r>
      <w:r w:rsidRPr="00D977A5">
        <w:t xml:space="preserve"> amended to read:</w:t>
      </w:r>
    </w:p>
    <w:p w:rsidR="00E200CF" w:rsidRDefault="0094083D" w:rsidP="00E200CF">
      <w:pPr>
        <w:pStyle w:val="Quote2"/>
      </w:pPr>
      <w:r>
        <w:t>7</w:t>
      </w:r>
      <w:r w:rsidR="00E200CF" w:rsidRPr="0094083D">
        <w:tab/>
      </w:r>
      <w:r>
        <w:t xml:space="preserve">Prior to the commencement of buildings and works a report prepared by a suitably qualified arborist must be submitted to the satisfaction of the responsible authority.  When approved, </w:t>
      </w:r>
      <w:r w:rsidR="00C07264">
        <w:rPr>
          <w:noProof/>
          <w:lang w:eastAsia="en-AU"/>
        </w:rPr>
        <w:lastRenderedPageBreak/>
        <w:drawing>
          <wp:anchor distT="0" distB="0" distL="114300" distR="114300" simplePos="0" relativeHeight="25165926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7" name="VCAT Seal2"/>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the report will be endorsed and will form part of this permit.  The report must</w:t>
      </w:r>
      <w:r w:rsidR="00894409">
        <w:t xml:space="preserve"> be consistent with Australian Standard AS4970-2009 Protection of Trees on Development Sites and</w:t>
      </w:r>
      <w:r>
        <w:t>:</w:t>
      </w:r>
    </w:p>
    <w:p w:rsidR="0094083D" w:rsidRDefault="0094083D" w:rsidP="00894409">
      <w:pPr>
        <w:pStyle w:val="Quote2"/>
        <w:ind w:left="2410" w:hanging="709"/>
      </w:pPr>
      <w:r>
        <w:t>(a)</w:t>
      </w:r>
      <w:r>
        <w:tab/>
      </w:r>
      <w:r w:rsidR="00894409">
        <w:t>I</w:t>
      </w:r>
      <w:r>
        <w:t>dentify the species, height,</w:t>
      </w:r>
      <w:r w:rsidR="0098460F">
        <w:t xml:space="preserve"> </w:t>
      </w:r>
      <w:r w:rsidR="00BD53B1">
        <w:t>d</w:t>
      </w:r>
      <w:r w:rsidR="00894409">
        <w:t>iameter</w:t>
      </w:r>
      <w:r w:rsidR="0098460F">
        <w:t xml:space="preserve"> at </w:t>
      </w:r>
      <w:r w:rsidR="00BD53B1">
        <w:t>b</w:t>
      </w:r>
      <w:r w:rsidR="0098460F">
        <w:t xml:space="preserve">reast </w:t>
      </w:r>
      <w:r w:rsidR="00BD53B1">
        <w:t>h</w:t>
      </w:r>
      <w:r w:rsidR="0098460F">
        <w:t>eight (DHB)</w:t>
      </w:r>
      <w:r w:rsidR="00156070">
        <w:t>,</w:t>
      </w:r>
      <w:r>
        <w:t xml:space="preserve"> tree protection zone and structural root zone of </w:t>
      </w:r>
      <w:r w:rsidR="00156070">
        <w:t xml:space="preserve">the </w:t>
      </w:r>
      <w:r w:rsidR="000879ED">
        <w:t>trees located on the adjoining properties</w:t>
      </w:r>
      <w:r w:rsidR="00BD53B1">
        <w:t xml:space="preserve"> within two metres of the subject site (including those overhanging the site)</w:t>
      </w:r>
      <w:r w:rsidR="00156070">
        <w:t>;</w:t>
      </w:r>
    </w:p>
    <w:p w:rsidR="00156070" w:rsidRDefault="00156070" w:rsidP="00894409">
      <w:pPr>
        <w:pStyle w:val="Quote2"/>
        <w:ind w:left="2410" w:hanging="709"/>
      </w:pPr>
      <w:r>
        <w:t>(b)</w:t>
      </w:r>
      <w:r>
        <w:tab/>
        <w:t>A calculation of the encroachment into the Tree Protection Zone of each tree;</w:t>
      </w:r>
    </w:p>
    <w:p w:rsidR="00156070" w:rsidRDefault="00156070" w:rsidP="00894409">
      <w:pPr>
        <w:pStyle w:val="Quote2"/>
        <w:ind w:left="2410" w:hanging="709"/>
      </w:pPr>
      <w:r>
        <w:t>(c)</w:t>
      </w:r>
      <w:r>
        <w:tab/>
        <w:t>Details of any design changes or construction techniques necessary to ensure the long term survival of the trees;</w:t>
      </w:r>
    </w:p>
    <w:p w:rsidR="00156070" w:rsidRDefault="00156070" w:rsidP="00894409">
      <w:pPr>
        <w:pStyle w:val="Quote2"/>
        <w:ind w:left="2410" w:hanging="709"/>
      </w:pPr>
      <w:r>
        <w:t>(d)</w:t>
      </w:r>
      <w:r>
        <w:tab/>
        <w:t xml:space="preserve">Details of any tree protection measures needed during the construction phase of the development.  </w:t>
      </w:r>
    </w:p>
    <w:p w:rsidR="00894409" w:rsidRDefault="00894409" w:rsidP="00894409">
      <w:pPr>
        <w:pStyle w:val="Quote2"/>
        <w:ind w:firstLine="0"/>
      </w:pPr>
      <w:r>
        <w:t xml:space="preserve">The endorsed arborist report must be implemented to the satisfaction of the responsible authority.  </w:t>
      </w:r>
    </w:p>
    <w:p w:rsidR="00E200CF" w:rsidRDefault="00E200CF" w:rsidP="00E200CF">
      <w:pPr>
        <w:pStyle w:val="Order2"/>
        <w:numPr>
          <w:ilvl w:val="1"/>
          <w:numId w:val="8"/>
        </w:numPr>
      </w:pPr>
      <w:r w:rsidRPr="00E250B7">
        <w:t xml:space="preserve">A new condition is </w:t>
      </w:r>
      <w:r>
        <w:t>included as follows:</w:t>
      </w:r>
    </w:p>
    <w:p w:rsidR="00E200CF" w:rsidRDefault="0094083D" w:rsidP="00E200CF">
      <w:pPr>
        <w:pStyle w:val="Quote2"/>
      </w:pPr>
      <w:r>
        <w:t>1(c)</w:t>
      </w:r>
      <w:r w:rsidR="00E200CF" w:rsidRPr="0094083D">
        <w:tab/>
      </w:r>
      <w:r>
        <w:t xml:space="preserve">Any design changes necessary to ensure the health and viability of </w:t>
      </w:r>
      <w:r w:rsidR="00156070">
        <w:t xml:space="preserve">neighbouring and street trees </w:t>
      </w:r>
      <w:r>
        <w:t>as detailed in the arborist report endorsed under condition 7</w:t>
      </w:r>
      <w:r w:rsidR="00BD53B1">
        <w:t xml:space="preserve"> of this permit</w:t>
      </w:r>
      <w:r>
        <w:t xml:space="preserve">.  </w:t>
      </w:r>
    </w:p>
    <w:p w:rsidR="00E200CF" w:rsidRDefault="00E200CF" w:rsidP="00E200CF"/>
    <w:p w:rsidR="00E200CF" w:rsidRDefault="00E200CF" w:rsidP="00E200CF"/>
    <w:p w:rsidR="00E200CF" w:rsidRDefault="00E200CF" w:rsidP="00E200CF"/>
    <w:p w:rsidR="00E200CF" w:rsidRDefault="00E200CF" w:rsidP="00E200CF"/>
    <w:p w:rsidR="00E200CF" w:rsidRDefault="00E200CF" w:rsidP="00E200CF"/>
    <w:tbl>
      <w:tblPr>
        <w:tblW w:w="4999" w:type="pct"/>
        <w:tblLook w:val="0000" w:firstRow="0" w:lastRow="0" w:firstColumn="0" w:lastColumn="0" w:noHBand="0" w:noVBand="0"/>
      </w:tblPr>
      <w:tblGrid>
        <w:gridCol w:w="3561"/>
        <w:gridCol w:w="1935"/>
        <w:gridCol w:w="3007"/>
      </w:tblGrid>
      <w:tr w:rsidR="00555296" w:rsidTr="00555296">
        <w:tc>
          <w:tcPr>
            <w:tcW w:w="2094" w:type="pct"/>
          </w:tcPr>
          <w:p w:rsidR="00555296" w:rsidRDefault="001E1A40" w:rsidP="00555296">
            <w:pPr>
              <w:tabs>
                <w:tab w:val="left" w:pos="1515"/>
              </w:tabs>
              <w:spacing w:before="80" w:after="100"/>
              <w:rPr>
                <w:rFonts w:ascii="Times New Roman Bold" w:hAnsi="Times New Roman Bold"/>
                <w:b/>
              </w:rPr>
            </w:pPr>
            <w:bookmarkStart w:id="20" w:name="DELappearances"/>
            <w:r>
              <w:rPr>
                <w:rFonts w:ascii="Times New Roman Bold" w:hAnsi="Times New Roman Bold"/>
                <w:b/>
              </w:rPr>
              <w:t>Katherine Paterson</w:t>
            </w:r>
          </w:p>
        </w:tc>
        <w:tc>
          <w:tcPr>
            <w:tcW w:w="1138" w:type="pct"/>
          </w:tcPr>
          <w:p w:rsidR="00555296" w:rsidRDefault="00555296" w:rsidP="00555296"/>
        </w:tc>
        <w:tc>
          <w:tcPr>
            <w:tcW w:w="1768" w:type="pct"/>
          </w:tcPr>
          <w:p w:rsidR="00555296" w:rsidRDefault="00555296" w:rsidP="00555296"/>
        </w:tc>
      </w:tr>
      <w:tr w:rsidR="00555296" w:rsidTr="00555296">
        <w:tc>
          <w:tcPr>
            <w:tcW w:w="2094" w:type="pct"/>
          </w:tcPr>
          <w:p w:rsidR="00555296" w:rsidRDefault="00555296" w:rsidP="00555296">
            <w:pPr>
              <w:spacing w:before="80" w:after="100"/>
              <w:rPr>
                <w:b/>
              </w:rPr>
            </w:pPr>
            <w:r w:rsidRPr="001E1A40">
              <w:rPr>
                <w:b/>
              </w:rPr>
              <w:t>Member</w:t>
            </w:r>
          </w:p>
        </w:tc>
        <w:tc>
          <w:tcPr>
            <w:tcW w:w="1138" w:type="pct"/>
          </w:tcPr>
          <w:p w:rsidR="00555296" w:rsidRDefault="00555296" w:rsidP="00555296"/>
        </w:tc>
        <w:tc>
          <w:tcPr>
            <w:tcW w:w="1768" w:type="pct"/>
          </w:tcPr>
          <w:p w:rsidR="00555296" w:rsidRDefault="00555296" w:rsidP="00555296"/>
        </w:tc>
      </w:tr>
    </w:tbl>
    <w:p w:rsidR="00E200CF" w:rsidRDefault="00E200CF" w:rsidP="00E200CF"/>
    <w:p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E200CF" w:rsidTr="00C963CC">
        <w:trPr>
          <w:cantSplit/>
        </w:trPr>
        <w:tc>
          <w:tcPr>
            <w:tcW w:w="2023" w:type="pct"/>
          </w:tcPr>
          <w:p w:rsidR="00E200CF" w:rsidRDefault="00E200CF" w:rsidP="00C963CC">
            <w:pPr>
              <w:pStyle w:val="TitlePagetext"/>
            </w:pPr>
            <w:r>
              <w:t>For applicant</w:t>
            </w:r>
          </w:p>
        </w:tc>
        <w:tc>
          <w:tcPr>
            <w:tcW w:w="2977" w:type="pct"/>
          </w:tcPr>
          <w:p w:rsidR="00E200CF" w:rsidRDefault="00FC1E0D" w:rsidP="00C963CC">
            <w:pPr>
              <w:pStyle w:val="TitlePagetext"/>
            </w:pPr>
            <w:r>
              <w:t>Ms Melissa Bell, in person.</w:t>
            </w:r>
          </w:p>
        </w:tc>
      </w:tr>
      <w:tr w:rsidR="00E200CF" w:rsidTr="00C963CC">
        <w:trPr>
          <w:cantSplit/>
        </w:trPr>
        <w:tc>
          <w:tcPr>
            <w:tcW w:w="2023" w:type="pct"/>
          </w:tcPr>
          <w:p w:rsidR="00E200CF" w:rsidRDefault="00E200CF" w:rsidP="00C963CC">
            <w:pPr>
              <w:pStyle w:val="TitlePagetext"/>
            </w:pPr>
            <w:r>
              <w:t>For responsible authority</w:t>
            </w:r>
          </w:p>
        </w:tc>
        <w:tc>
          <w:tcPr>
            <w:tcW w:w="2977" w:type="pct"/>
          </w:tcPr>
          <w:p w:rsidR="00E200CF" w:rsidRDefault="00FC1E0D" w:rsidP="00C963CC">
            <w:pPr>
              <w:pStyle w:val="TitlePagetext"/>
            </w:pPr>
            <w:r>
              <w:t>Ms Alexandra Wade, Town Planner, Monash City Council</w:t>
            </w:r>
          </w:p>
        </w:tc>
      </w:tr>
      <w:tr w:rsidR="00E200CF" w:rsidTr="00C963CC">
        <w:trPr>
          <w:cantSplit/>
        </w:trPr>
        <w:tc>
          <w:tcPr>
            <w:tcW w:w="2023" w:type="pct"/>
          </w:tcPr>
          <w:p w:rsidR="00E200CF" w:rsidRDefault="00E200CF" w:rsidP="00C963CC">
            <w:pPr>
              <w:pStyle w:val="TitlePagetext"/>
            </w:pPr>
            <w:r>
              <w:t>For respondent</w:t>
            </w:r>
            <w:bookmarkStart w:id="21" w:name="FORres"/>
            <w:bookmarkEnd w:id="21"/>
          </w:p>
        </w:tc>
        <w:tc>
          <w:tcPr>
            <w:tcW w:w="2977" w:type="pct"/>
          </w:tcPr>
          <w:p w:rsidR="00E200CF" w:rsidRDefault="00FC1E0D" w:rsidP="00C963CC">
            <w:pPr>
              <w:pStyle w:val="TitlePagetext"/>
            </w:pPr>
            <w:bookmarkStart w:id="22" w:name="APPres"/>
            <w:bookmarkEnd w:id="22"/>
            <w:r>
              <w:t xml:space="preserve">Ms Morgan Livingstone, </w:t>
            </w:r>
            <w:r w:rsidR="00BD53B1">
              <w:t>Town Planner, Song Bowden Planning</w:t>
            </w:r>
            <w:r>
              <w:t xml:space="preserve">.  </w:t>
            </w:r>
          </w:p>
        </w:tc>
      </w:tr>
      <w:bookmarkEnd w:id="20"/>
    </w:tbl>
    <w:p w:rsidR="00E200CF" w:rsidRDefault="00E200CF" w:rsidP="00E200CF">
      <w:r>
        <w:br w:type="page"/>
      </w:r>
    </w:p>
    <w:p w:rsidR="00E200CF" w:rsidRDefault="00C07264" w:rsidP="00E200CF">
      <w:pPr>
        <w:pStyle w:val="Heading1"/>
        <w:rPr>
          <w:highlight w:val="yellow"/>
        </w:rPr>
      </w:pPr>
      <w:r>
        <w:rPr>
          <w:noProof/>
          <w:lang w:eastAsia="en-AU"/>
        </w:rPr>
        <w:lastRenderedPageBreak/>
        <w:drawing>
          <wp:anchor distT="0" distB="0" distL="114300" distR="114300" simplePos="0" relativeHeight="25166028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8" name="VCAT Seal3"/>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Information</w:t>
      </w:r>
    </w:p>
    <w:tbl>
      <w:tblPr>
        <w:tblW w:w="5000" w:type="pct"/>
        <w:tblLook w:val="0000" w:firstRow="0" w:lastRow="0" w:firstColumn="0" w:lastColumn="0" w:noHBand="0" w:noVBand="0"/>
      </w:tblPr>
      <w:tblGrid>
        <w:gridCol w:w="3273"/>
        <w:gridCol w:w="5232"/>
      </w:tblGrid>
      <w:tr w:rsidR="00E200CF" w:rsidTr="00C963CC">
        <w:trPr>
          <w:cantSplit/>
        </w:trPr>
        <w:tc>
          <w:tcPr>
            <w:tcW w:w="1924" w:type="pct"/>
          </w:tcPr>
          <w:p w:rsidR="00E200CF" w:rsidRDefault="00E200CF" w:rsidP="00C963CC">
            <w:pPr>
              <w:pStyle w:val="TitlePagetext"/>
            </w:pPr>
            <w:r>
              <w:t>Description of proposal</w:t>
            </w:r>
          </w:p>
        </w:tc>
        <w:tc>
          <w:tcPr>
            <w:tcW w:w="3076" w:type="pct"/>
          </w:tcPr>
          <w:p w:rsidR="00E200CF" w:rsidRPr="00851E10" w:rsidRDefault="00ED4C48" w:rsidP="00C963CC">
            <w:pPr>
              <w:pStyle w:val="TitlePagetext"/>
            </w:pPr>
            <w:r>
              <w:t>The construction of three double storey dwellings on the land.  Dwelling</w:t>
            </w:r>
            <w:r w:rsidR="00BD53B1">
              <w:t>s</w:t>
            </w:r>
            <w:r>
              <w:t xml:space="preserve"> one and two will contain four bedrooms and dwelling three will contain two.  Each dwelling has been provided with a garage accessed via an existing crossover to Wandoo Court.  The architectural style of the dwellings incorporates pitched tiled roofs, face brick work at the lower level and rendered lightweight walls at the upper levels.</w:t>
            </w:r>
          </w:p>
        </w:tc>
      </w:tr>
      <w:tr w:rsidR="00E200CF" w:rsidTr="00C963CC">
        <w:trPr>
          <w:cantSplit/>
        </w:trPr>
        <w:tc>
          <w:tcPr>
            <w:tcW w:w="1924" w:type="pct"/>
          </w:tcPr>
          <w:p w:rsidR="00E200CF" w:rsidRDefault="00E200CF" w:rsidP="00C963CC">
            <w:pPr>
              <w:pStyle w:val="TitlePagetext"/>
            </w:pPr>
            <w:r>
              <w:t>Nature of proceeding</w:t>
            </w:r>
          </w:p>
        </w:tc>
        <w:tc>
          <w:tcPr>
            <w:tcW w:w="3076" w:type="pct"/>
          </w:tcPr>
          <w:p w:rsidR="00E200CF" w:rsidRPr="00851E10" w:rsidRDefault="000003F2" w:rsidP="00ED4C48">
            <w:r>
              <w:t xml:space="preserve">Application under section 82 of the </w:t>
            </w:r>
            <w:r>
              <w:rPr>
                <w:i/>
              </w:rPr>
              <w:t>Planning and Environment Act 1987</w:t>
            </w:r>
            <w:r>
              <w:t xml:space="preserve"> – to review the decision to grant a permit.</w:t>
            </w:r>
            <w:r>
              <w:rPr>
                <w:sz w:val="24"/>
                <w:szCs w:val="24"/>
                <w:lang w:eastAsia="en-AU"/>
              </w:rPr>
              <w:t xml:space="preserve"> </w:t>
            </w:r>
            <w:r w:rsidR="00ED4C48">
              <w:rPr>
                <w:sz w:val="24"/>
                <w:szCs w:val="24"/>
                <w:lang w:eastAsia="en-AU"/>
              </w:rPr>
              <w:t xml:space="preserve"> </w:t>
            </w:r>
          </w:p>
        </w:tc>
      </w:tr>
      <w:tr w:rsidR="00E200CF" w:rsidTr="00C963CC">
        <w:trPr>
          <w:cantSplit/>
        </w:trPr>
        <w:tc>
          <w:tcPr>
            <w:tcW w:w="1924" w:type="pct"/>
          </w:tcPr>
          <w:p w:rsidR="00E200CF" w:rsidRPr="005C699E" w:rsidRDefault="00E200CF" w:rsidP="00C963CC">
            <w:pPr>
              <w:pStyle w:val="TitlePagetext"/>
            </w:pPr>
            <w:r>
              <w:t>Planning scheme</w:t>
            </w:r>
          </w:p>
        </w:tc>
        <w:tc>
          <w:tcPr>
            <w:tcW w:w="3076" w:type="pct"/>
          </w:tcPr>
          <w:p w:rsidR="00E200CF" w:rsidRPr="00851E10" w:rsidRDefault="00ED4C48" w:rsidP="00C963CC">
            <w:pPr>
              <w:pStyle w:val="TitlePagetext"/>
            </w:pPr>
            <w:r>
              <w:t>Monash Planning Scheme</w:t>
            </w:r>
          </w:p>
        </w:tc>
      </w:tr>
      <w:tr w:rsidR="00E200CF" w:rsidTr="00C963CC">
        <w:trPr>
          <w:cantSplit/>
        </w:trPr>
        <w:tc>
          <w:tcPr>
            <w:tcW w:w="1924" w:type="pct"/>
          </w:tcPr>
          <w:p w:rsidR="00E200CF" w:rsidRDefault="00E200CF" w:rsidP="00C963CC">
            <w:pPr>
              <w:pStyle w:val="TitlePagetext"/>
            </w:pPr>
            <w:r w:rsidRPr="005C699E">
              <w:t xml:space="preserve">Zone and </w:t>
            </w:r>
            <w:r>
              <w:t>o</w:t>
            </w:r>
            <w:r w:rsidRPr="005C699E">
              <w:t>verlays</w:t>
            </w:r>
          </w:p>
        </w:tc>
        <w:tc>
          <w:tcPr>
            <w:tcW w:w="3076" w:type="pct"/>
          </w:tcPr>
          <w:p w:rsidR="00E200CF" w:rsidRPr="00851E10" w:rsidRDefault="00ED4C48" w:rsidP="00C963CC">
            <w:pPr>
              <w:pStyle w:val="TitlePagetext"/>
            </w:pPr>
            <w:r>
              <w:t>General Residential Zone Schedule 2</w:t>
            </w:r>
          </w:p>
        </w:tc>
      </w:tr>
      <w:tr w:rsidR="00E200CF" w:rsidTr="00C963CC">
        <w:trPr>
          <w:cantSplit/>
        </w:trPr>
        <w:tc>
          <w:tcPr>
            <w:tcW w:w="1924" w:type="pct"/>
          </w:tcPr>
          <w:p w:rsidR="00E200CF" w:rsidRPr="005C699E" w:rsidRDefault="00E200CF" w:rsidP="00C963CC">
            <w:pPr>
              <w:pStyle w:val="TitlePagetext"/>
            </w:pPr>
            <w:r>
              <w:t>Permit requirements</w:t>
            </w:r>
          </w:p>
        </w:tc>
        <w:tc>
          <w:tcPr>
            <w:tcW w:w="3076" w:type="pct"/>
          </w:tcPr>
          <w:p w:rsidR="00C1567D" w:rsidRPr="00C1567D" w:rsidRDefault="002D67EB" w:rsidP="00C963CC">
            <w:pPr>
              <w:pStyle w:val="TitlePagetext"/>
            </w:pPr>
            <w:r>
              <w:t>Clause 32.08-6 – Construct two or more dwellings on a lot</w:t>
            </w:r>
          </w:p>
        </w:tc>
      </w:tr>
      <w:tr w:rsidR="00E200CF" w:rsidTr="00C963CC">
        <w:trPr>
          <w:cantSplit/>
        </w:trPr>
        <w:tc>
          <w:tcPr>
            <w:tcW w:w="1924" w:type="pct"/>
          </w:tcPr>
          <w:p w:rsidR="00E200CF" w:rsidRDefault="00E200CF" w:rsidP="00C963CC">
            <w:pPr>
              <w:pStyle w:val="TitlePagetext"/>
            </w:pPr>
            <w:r>
              <w:t>Land description</w:t>
            </w:r>
          </w:p>
        </w:tc>
        <w:tc>
          <w:tcPr>
            <w:tcW w:w="3076" w:type="pct"/>
          </w:tcPr>
          <w:p w:rsidR="00E200CF" w:rsidRPr="00851E10" w:rsidRDefault="002D67EB" w:rsidP="00C963CC">
            <w:pPr>
              <w:pStyle w:val="TitlePagetext"/>
            </w:pPr>
            <w:r>
              <w:t>The subject site has an area of 842 square meters and is located at the end of Wandoo Court.  It is currently occupied by a single storey detached brick dwelling</w:t>
            </w:r>
            <w:r w:rsidR="00BD53B1">
              <w:t xml:space="preserve"> with associated outbuildings and garden</w:t>
            </w:r>
            <w:r>
              <w:t xml:space="preserve">.  </w:t>
            </w:r>
          </w:p>
        </w:tc>
      </w:tr>
      <w:tr w:rsidR="00E200CF" w:rsidTr="00C963CC">
        <w:trPr>
          <w:cantSplit/>
        </w:trPr>
        <w:tc>
          <w:tcPr>
            <w:tcW w:w="1924" w:type="pct"/>
          </w:tcPr>
          <w:p w:rsidR="00E200CF" w:rsidRDefault="00E200CF" w:rsidP="00C963CC">
            <w:pPr>
              <w:pStyle w:val="TitlePagetext"/>
            </w:pPr>
            <w:r>
              <w:t>Tribunal inspection</w:t>
            </w:r>
          </w:p>
        </w:tc>
        <w:tc>
          <w:tcPr>
            <w:tcW w:w="3076" w:type="pct"/>
          </w:tcPr>
          <w:p w:rsidR="00E200CF" w:rsidRPr="00851E10" w:rsidRDefault="00166828" w:rsidP="00C963CC">
            <w:pPr>
              <w:pStyle w:val="TitlePagetext"/>
            </w:pPr>
            <w:r>
              <w:t>26 September 2019 between 6:30 am and 7:20 am</w:t>
            </w:r>
            <w:r w:rsidR="00E200CF">
              <w:t xml:space="preserve">  </w:t>
            </w:r>
          </w:p>
        </w:tc>
      </w:tr>
    </w:tbl>
    <w:p w:rsidR="00E200CF" w:rsidRDefault="00E200CF" w:rsidP="00E200CF">
      <w:pPr>
        <w:pStyle w:val="Order1"/>
      </w:pPr>
    </w:p>
    <w:p w:rsidR="00E200CF" w:rsidRDefault="00E200CF" w:rsidP="00E200CF">
      <w:pPr>
        <w:pStyle w:val="Heading1"/>
      </w:pPr>
      <w:r>
        <w:br w:type="page"/>
      </w:r>
      <w:r w:rsidR="00C07264">
        <w:rPr>
          <w:noProof/>
          <w:lang w:eastAsia="en-AU"/>
        </w:rPr>
        <w:lastRenderedPageBreak/>
        <w:drawing>
          <wp:anchor distT="0" distB="0" distL="114300" distR="114300" simplePos="0" relativeHeight="25166131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9" name="VCAT Seal4"/>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rsidR="00E200CF" w:rsidRDefault="00E200CF" w:rsidP="00E200CF">
      <w:pPr>
        <w:pStyle w:val="Heading2"/>
      </w:pPr>
      <w:r>
        <w:t xml:space="preserve">What is this </w:t>
      </w:r>
      <w:r w:rsidRPr="004413F4">
        <w:t>proceeding</w:t>
      </w:r>
      <w:r>
        <w:t xml:space="preserve"> about?</w:t>
      </w:r>
    </w:p>
    <w:p w:rsidR="00E200CF" w:rsidRDefault="00FC1E0D" w:rsidP="00E200CF">
      <w:pPr>
        <w:pStyle w:val="Para1"/>
      </w:pPr>
      <w:r>
        <w:t>Chaengi Gow wishes to construct three dwellings on land at 11 Wandoo Court</w:t>
      </w:r>
      <w:r w:rsidR="00BD53B1">
        <w:t>,</w:t>
      </w:r>
      <w:r>
        <w:t xml:space="preserve"> Wheelers Hill.  </w:t>
      </w:r>
    </w:p>
    <w:p w:rsidR="00FC1E0D" w:rsidRDefault="00FC1E0D" w:rsidP="00E200CF">
      <w:pPr>
        <w:pStyle w:val="Para1"/>
      </w:pPr>
      <w:r>
        <w:t xml:space="preserve">Ms Bell objects to </w:t>
      </w:r>
      <w:r w:rsidR="00155A7E">
        <w:t xml:space="preserve">the proposed development.  </w:t>
      </w:r>
      <w:r w:rsidR="00B25232">
        <w:t xml:space="preserve">Since the court was established in 1968 the court has only been developed with single dwellings.  </w:t>
      </w:r>
      <w:r w:rsidR="00775AE9">
        <w:t xml:space="preserve">If approved, this development would be the first three dwelling </w:t>
      </w:r>
      <w:r w:rsidR="00166828">
        <w:t>development</w:t>
      </w:r>
      <w:r w:rsidR="00775AE9">
        <w:t xml:space="preserve"> in the street.  </w:t>
      </w:r>
    </w:p>
    <w:p w:rsidR="00775AE9" w:rsidRDefault="00775AE9" w:rsidP="00E200CF">
      <w:pPr>
        <w:pStyle w:val="Para1"/>
      </w:pPr>
      <w:r>
        <w:t xml:space="preserve">Ms Bell submits that the court is not suitable for medium density </w:t>
      </w:r>
      <w:r w:rsidR="00166828">
        <w:t>housing due</w:t>
      </w:r>
      <w:r>
        <w:t xml:space="preserve"> to capacity of the court to accommodate the additional traffic </w:t>
      </w:r>
      <w:r w:rsidR="004E443A">
        <w:t xml:space="preserve">and </w:t>
      </w:r>
      <w:r>
        <w:t>demand for on street parking</w:t>
      </w:r>
      <w:r w:rsidR="004E443A">
        <w:t xml:space="preserve"> generated by the proposal</w:t>
      </w:r>
      <w:r>
        <w:t xml:space="preserve">.  </w:t>
      </w:r>
    </w:p>
    <w:p w:rsidR="00775AE9" w:rsidRDefault="00775AE9" w:rsidP="00E200CF">
      <w:pPr>
        <w:pStyle w:val="Para1"/>
      </w:pPr>
      <w:r>
        <w:t xml:space="preserve">She questions the inclusion of the site within ‘Garden City Suburbs Northern Section E’ in Monash housing policies and is concerned that the setbacks of the proposed development are inconsistent with the character of the area.  </w:t>
      </w:r>
    </w:p>
    <w:p w:rsidR="00E200CF" w:rsidRDefault="00E200CF" w:rsidP="00775AE9">
      <w:pPr>
        <w:pStyle w:val="Heading3"/>
      </w:pPr>
      <w:r>
        <w:t>What are the key issues?</w:t>
      </w:r>
    </w:p>
    <w:p w:rsidR="00775AE9" w:rsidRDefault="00775AE9" w:rsidP="00775AE9">
      <w:pPr>
        <w:pStyle w:val="Para1"/>
      </w:pPr>
      <w:r w:rsidRPr="00273799">
        <w:t>Having considered all the submissions and evidence and inspected the subject land and its locality I am of the opinion that the key issues in this proceeding are:</w:t>
      </w:r>
    </w:p>
    <w:p w:rsidR="00775AE9" w:rsidRPr="00273799" w:rsidRDefault="00775AE9" w:rsidP="00BD53B1">
      <w:pPr>
        <w:pStyle w:val="Para1"/>
        <w:numPr>
          <w:ilvl w:val="0"/>
          <w:numId w:val="19"/>
        </w:numPr>
        <w:ind w:left="993" w:hanging="426"/>
      </w:pPr>
      <w:r>
        <w:t>Is the construction of three dwellings on this site supported by planning policy?</w:t>
      </w:r>
    </w:p>
    <w:p w:rsidR="00775AE9" w:rsidRPr="00273799" w:rsidRDefault="00775AE9" w:rsidP="00BD53B1">
      <w:pPr>
        <w:pStyle w:val="Para1"/>
        <w:numPr>
          <w:ilvl w:val="0"/>
          <w:numId w:val="19"/>
        </w:numPr>
        <w:ind w:left="993" w:hanging="426"/>
      </w:pPr>
      <w:bookmarkStart w:id="23" w:name="_Hlk23337301"/>
      <w:r w:rsidRPr="00273799">
        <w:t>Is the proposal respectful of the neighbourhood character?</w:t>
      </w:r>
      <w:bookmarkEnd w:id="23"/>
    </w:p>
    <w:p w:rsidR="00775AE9" w:rsidRDefault="00775AE9" w:rsidP="00BD53B1">
      <w:pPr>
        <w:pStyle w:val="Para1"/>
        <w:numPr>
          <w:ilvl w:val="0"/>
          <w:numId w:val="19"/>
        </w:numPr>
        <w:ind w:left="993" w:hanging="426"/>
      </w:pPr>
      <w:r w:rsidRPr="00273799">
        <w:t>Does the proposal provide adequate car parking?</w:t>
      </w:r>
    </w:p>
    <w:p w:rsidR="00775AE9" w:rsidRDefault="00775AE9" w:rsidP="00BD53B1">
      <w:pPr>
        <w:pStyle w:val="Para1"/>
        <w:numPr>
          <w:ilvl w:val="0"/>
          <w:numId w:val="19"/>
        </w:numPr>
        <w:ind w:left="993" w:hanging="426"/>
      </w:pPr>
      <w:r>
        <w:t>Will the proposal unreasonably affect the amenity of the area through increased traffic?</w:t>
      </w:r>
    </w:p>
    <w:p w:rsidR="00775AE9" w:rsidRPr="00273799" w:rsidRDefault="00775AE9" w:rsidP="00775AE9">
      <w:pPr>
        <w:pStyle w:val="Heading3"/>
      </w:pPr>
      <w:r>
        <w:t>Summary of findings</w:t>
      </w:r>
    </w:p>
    <w:p w:rsidR="00E200CF" w:rsidRDefault="00775AE9" w:rsidP="00E200CF">
      <w:pPr>
        <w:pStyle w:val="Para1"/>
      </w:pPr>
      <w:r w:rsidRPr="00273799">
        <w:t>I have decided to grant a permit for the following reasons</w:t>
      </w:r>
      <w:r>
        <w:t>”</w:t>
      </w:r>
    </w:p>
    <w:p w:rsidR="00775AE9" w:rsidRDefault="00775AE9" w:rsidP="00BD53B1">
      <w:pPr>
        <w:pStyle w:val="Para1"/>
        <w:numPr>
          <w:ilvl w:val="0"/>
          <w:numId w:val="20"/>
        </w:numPr>
        <w:ind w:left="993" w:hanging="426"/>
      </w:pPr>
      <w:r>
        <w:t>The development of three dwellings on this site is supported by planning policy;</w:t>
      </w:r>
    </w:p>
    <w:p w:rsidR="00775AE9" w:rsidRDefault="00775AE9" w:rsidP="00BD53B1">
      <w:pPr>
        <w:pStyle w:val="Para1"/>
        <w:numPr>
          <w:ilvl w:val="0"/>
          <w:numId w:val="20"/>
        </w:numPr>
        <w:ind w:left="993" w:hanging="426"/>
      </w:pPr>
      <w:r>
        <w:t>The proposal is an acceptable response to the neighbourhood character of the area;</w:t>
      </w:r>
    </w:p>
    <w:p w:rsidR="00775AE9" w:rsidRDefault="00775AE9" w:rsidP="00BD53B1">
      <w:pPr>
        <w:pStyle w:val="Para1"/>
        <w:numPr>
          <w:ilvl w:val="0"/>
          <w:numId w:val="20"/>
        </w:numPr>
        <w:ind w:left="993" w:hanging="426"/>
      </w:pPr>
      <w:r>
        <w:t xml:space="preserve">The parking arrangements meet the requirements of Clause 52.06 of the planning scheme.  </w:t>
      </w:r>
    </w:p>
    <w:p w:rsidR="00775AE9" w:rsidRDefault="00C07264" w:rsidP="00BD53B1">
      <w:pPr>
        <w:pStyle w:val="Para1"/>
        <w:numPr>
          <w:ilvl w:val="0"/>
          <w:numId w:val="20"/>
        </w:numPr>
        <w:ind w:left="993" w:hanging="426"/>
      </w:pPr>
      <w:r>
        <w:rPr>
          <w:noProof/>
          <w:lang w:eastAsia="en-AU"/>
        </w:rPr>
        <w:lastRenderedPageBreak/>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0" name="VCAT Seal5"/>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75AE9">
        <w:t xml:space="preserve">Whilst the proposal will generate an increase in traffic, I am satisfied that this may be comfortably absorbed in the road network.  </w:t>
      </w:r>
    </w:p>
    <w:p w:rsidR="00BD53B1" w:rsidRDefault="00BD53B1" w:rsidP="00BD53B1">
      <w:pPr>
        <w:pStyle w:val="Para1"/>
        <w:numPr>
          <w:ilvl w:val="0"/>
          <w:numId w:val="0"/>
        </w:numPr>
        <w:ind w:left="567"/>
      </w:pPr>
      <w:r>
        <w:t xml:space="preserve">My reasons follow.  </w:t>
      </w:r>
    </w:p>
    <w:p w:rsidR="00E200CF" w:rsidRDefault="00166828" w:rsidP="00166828">
      <w:pPr>
        <w:pStyle w:val="Heading2"/>
      </w:pPr>
      <w:r>
        <w:t>Is the construction of three dwellings on this site supported by planning policy?</w:t>
      </w:r>
    </w:p>
    <w:p w:rsidR="00166828" w:rsidRDefault="00FB5535" w:rsidP="00FB5535">
      <w:pPr>
        <w:pStyle w:val="Para1"/>
      </w:pPr>
      <w:r w:rsidRPr="00FB5535">
        <w:t xml:space="preserve">Clause 16.01-2R of the Monash Planning Scheme seeks </w:t>
      </w:r>
      <w:r>
        <w:t>to f</w:t>
      </w:r>
      <w:r w:rsidRPr="00FB5535">
        <w:t xml:space="preserve">acilitate increased housing in established areas to create a city of 20 minute neighbourhoods close to existing services, jobs and public transport. </w:t>
      </w:r>
    </w:p>
    <w:p w:rsidR="00FB5535" w:rsidRDefault="00FB5535" w:rsidP="00FB5535">
      <w:pPr>
        <w:pStyle w:val="Para1"/>
        <w:numPr>
          <w:ilvl w:val="0"/>
          <w:numId w:val="0"/>
        </w:numPr>
        <w:ind w:left="567" w:hanging="425"/>
      </w:pPr>
      <w:r>
        <w:rPr>
          <w:noProof/>
          <w:lang w:eastAsia="en-AU"/>
        </w:rPr>
        <w:drawing>
          <wp:inline distT="0" distB="0" distL="0" distR="0" wp14:anchorId="2EBFCE7C" wp14:editId="71F1DBBC">
            <wp:extent cx="5400675" cy="416877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4168775"/>
                    </a:xfrm>
                    <a:prstGeom prst="rect">
                      <a:avLst/>
                    </a:prstGeom>
                  </pic:spPr>
                </pic:pic>
              </a:graphicData>
            </a:graphic>
          </wp:inline>
        </w:drawing>
      </w:r>
    </w:p>
    <w:p w:rsidR="00FB5535" w:rsidRDefault="00FB5535" w:rsidP="00FB5535">
      <w:pPr>
        <w:pStyle w:val="Para1"/>
      </w:pPr>
      <w:r>
        <w:t xml:space="preserve">As can be seen from the above extract from </w:t>
      </w:r>
      <w:r w:rsidR="00BD53B1">
        <w:t>M</w:t>
      </w:r>
      <w:r>
        <w:t>elways Online,</w:t>
      </w:r>
      <w:r>
        <w:rPr>
          <w:rStyle w:val="FootnoteReference"/>
        </w:rPr>
        <w:footnoteReference w:id="2"/>
      </w:r>
      <w:r>
        <w:t xml:space="preserve"> the subject site is located 700 metres </w:t>
      </w:r>
      <w:r w:rsidR="00A14092">
        <w:t xml:space="preserve">(a 9 minute walk) </w:t>
      </w:r>
      <w:r>
        <w:t xml:space="preserve">from the Brandon Park </w:t>
      </w:r>
      <w:r w:rsidR="00A14092">
        <w:t>Shopping Centre, which is identified as a major activity centre within Plan Melbourne</w:t>
      </w:r>
      <w:r w:rsidR="00A14092">
        <w:rPr>
          <w:rStyle w:val="FootnoteReference"/>
        </w:rPr>
        <w:footnoteReference w:id="3"/>
      </w:r>
      <w:r w:rsidR="00A14092">
        <w:t xml:space="preserve">. Nearby public transport is in the form of buses which link the site with Belgrave, Oakleigh and Dandenong.  The nearest bus stop is located 350 metres away from the site in Ferntree Gully Road.  It is a site that is strongly supported by state and regional planning policy for medium density housing.  </w:t>
      </w:r>
    </w:p>
    <w:p w:rsidR="00843EAF" w:rsidRDefault="00C07264" w:rsidP="00843EAF">
      <w:pPr>
        <w:pStyle w:val="Heading3"/>
      </w:pPr>
      <w:r>
        <w:rPr>
          <w:noProof/>
          <w:lang w:eastAsia="en-AU"/>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1" name="VCAT Seal6"/>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43EAF">
        <w:t>Local Planning Policy</w:t>
      </w:r>
    </w:p>
    <w:p w:rsidR="00A14092" w:rsidRDefault="00843EAF" w:rsidP="00843EAF">
      <w:pPr>
        <w:pStyle w:val="Para1"/>
      </w:pPr>
      <w:r w:rsidRPr="00843EAF">
        <w:t xml:space="preserve">Clause 21.01-1 estimates that the population of Monash is expected to increase by over 26,000 to over 215,000 by 2031.  The rising population has resulted in an increase in the number of households and it is estimated that this will drive demand for at least 10,000 new dwellings over the period </w:t>
      </w:r>
      <w:r w:rsidR="00BD53B1">
        <w:t xml:space="preserve">between </w:t>
      </w:r>
      <w:r w:rsidRPr="00843EAF">
        <w:t>2016-2031.</w:t>
      </w:r>
    </w:p>
    <w:p w:rsidR="00843EAF" w:rsidRDefault="00F347F8" w:rsidP="00F347F8">
      <w:pPr>
        <w:pStyle w:val="Para1"/>
      </w:pPr>
      <w:r>
        <w:rPr>
          <w:lang w:eastAsia="en-AU"/>
        </w:rPr>
        <w:t>As one method of meeting the housing needs of the municipality, m</w:t>
      </w:r>
      <w:r w:rsidR="00843EAF">
        <w:rPr>
          <w:lang w:eastAsia="en-AU"/>
        </w:rPr>
        <w:t>edium rise development is directed towards the Brandon Park</w:t>
      </w:r>
      <w:r>
        <w:rPr>
          <w:lang w:eastAsia="en-AU"/>
        </w:rPr>
        <w:t xml:space="preserve"> </w:t>
      </w:r>
      <w:r w:rsidR="00843EAF">
        <w:rPr>
          <w:lang w:eastAsia="en-AU"/>
        </w:rPr>
        <w:t>Major Activity Centre</w:t>
      </w:r>
      <w:r>
        <w:rPr>
          <w:lang w:eastAsia="en-AU"/>
        </w:rPr>
        <w:t xml:space="preserve"> by Clause 21.04-3.  </w:t>
      </w:r>
      <w:r w:rsidR="00CA5891">
        <w:rPr>
          <w:lang w:eastAsia="en-AU"/>
        </w:rPr>
        <w:t xml:space="preserve">On </w:t>
      </w:r>
      <w:r w:rsidR="00BD53B1">
        <w:rPr>
          <w:lang w:eastAsia="en-AU"/>
        </w:rPr>
        <w:t>land</w:t>
      </w:r>
      <w:r w:rsidR="00CA5891">
        <w:rPr>
          <w:lang w:eastAsia="en-AU"/>
        </w:rPr>
        <w:t xml:space="preserve"> o</w:t>
      </w:r>
      <w:r>
        <w:rPr>
          <w:lang w:eastAsia="en-AU"/>
        </w:rPr>
        <w:t xml:space="preserve">utside of </w:t>
      </w:r>
      <w:r w:rsidR="00CA5891">
        <w:rPr>
          <w:lang w:eastAsia="en-AU"/>
        </w:rPr>
        <w:t xml:space="preserve">the </w:t>
      </w:r>
      <w:r>
        <w:rPr>
          <w:lang w:eastAsia="en-AU"/>
        </w:rPr>
        <w:t>activity centre</w:t>
      </w:r>
      <w:r w:rsidR="00CA5891">
        <w:rPr>
          <w:lang w:eastAsia="en-AU"/>
        </w:rPr>
        <w:t>s</w:t>
      </w:r>
      <w:r>
        <w:rPr>
          <w:lang w:eastAsia="en-AU"/>
        </w:rPr>
        <w:t>, such as the subject site</w:t>
      </w:r>
      <w:r w:rsidR="00CA5891">
        <w:rPr>
          <w:lang w:eastAsia="en-AU"/>
        </w:rPr>
        <w:t>,</w:t>
      </w:r>
      <w:r>
        <w:rPr>
          <w:lang w:eastAsia="en-AU"/>
        </w:rPr>
        <w:t xml:space="preserve"> development is expected to be low rise.  </w:t>
      </w:r>
    </w:p>
    <w:p w:rsidR="00CA5891" w:rsidRDefault="00CA5891" w:rsidP="00F347F8">
      <w:pPr>
        <w:pStyle w:val="Para1"/>
      </w:pPr>
      <w:r>
        <w:rPr>
          <w:lang w:eastAsia="en-AU"/>
        </w:rPr>
        <w:t>Th</w:t>
      </w:r>
      <w:r w:rsidR="00402799">
        <w:rPr>
          <w:lang w:eastAsia="en-AU"/>
        </w:rPr>
        <w:t>e directions specified in the local policy framework are reflected in the inclusion of the site within the General Residential Zone Schedule 2, the purposes of which include:</w:t>
      </w:r>
    </w:p>
    <w:p w:rsidR="00402799" w:rsidRDefault="00402799" w:rsidP="00402799">
      <w:pPr>
        <w:pStyle w:val="Quote3"/>
        <w:rPr>
          <w:lang w:eastAsia="en-AU"/>
        </w:rPr>
      </w:pPr>
      <w:r>
        <w:rPr>
          <w:lang w:eastAsia="en-AU"/>
        </w:rPr>
        <w:t>To encourage a diversity of housing types and housing growth particularly in locations offering good access to services and transport.</w:t>
      </w:r>
    </w:p>
    <w:p w:rsidR="00402799" w:rsidRDefault="00402799" w:rsidP="00402799">
      <w:pPr>
        <w:pStyle w:val="Para1"/>
      </w:pPr>
      <w:r>
        <w:t xml:space="preserve">I find that the development of three double storey dwellings on this site is generally consistent with the local policy framework.  </w:t>
      </w:r>
    </w:p>
    <w:p w:rsidR="00402799" w:rsidRDefault="00402799" w:rsidP="00402799">
      <w:pPr>
        <w:pStyle w:val="Heading3"/>
      </w:pPr>
      <w:r>
        <w:t>Monash Housing Strategy</w:t>
      </w:r>
    </w:p>
    <w:p w:rsidR="00402799" w:rsidRDefault="00402799" w:rsidP="00402799">
      <w:pPr>
        <w:pStyle w:val="Para1"/>
      </w:pPr>
      <w:r>
        <w:t xml:space="preserve">The Monash Housing Strategy was adopted by Council in October 2014 and </w:t>
      </w:r>
      <w:r w:rsidR="00E66B56">
        <w:t xml:space="preserve">is referenced within Local </w:t>
      </w:r>
      <w:r w:rsidR="00BD53B1">
        <w:t xml:space="preserve">Planning </w:t>
      </w:r>
      <w:r w:rsidR="00E66B56">
        <w:t xml:space="preserve">Policy.  </w:t>
      </w:r>
    </w:p>
    <w:p w:rsidR="00E66B56" w:rsidRDefault="001B399E" w:rsidP="001B399E">
      <w:pPr>
        <w:pStyle w:val="Para1"/>
        <w:numPr>
          <w:ilvl w:val="0"/>
          <w:numId w:val="0"/>
        </w:numPr>
        <w:ind w:left="567" w:firstLine="1985"/>
      </w:pPr>
      <w:r>
        <w:rPr>
          <w:noProof/>
          <w:lang w:eastAsia="en-AU"/>
        </w:rPr>
        <w:drawing>
          <wp:inline distT="0" distB="0" distL="0" distR="0" wp14:anchorId="40724474" wp14:editId="66B30CB1">
            <wp:extent cx="3324225" cy="235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225" cy="2352675"/>
                    </a:xfrm>
                    <a:prstGeom prst="rect">
                      <a:avLst/>
                    </a:prstGeom>
                  </pic:spPr>
                </pic:pic>
              </a:graphicData>
            </a:graphic>
          </wp:inline>
        </w:drawing>
      </w:r>
    </w:p>
    <w:p w:rsidR="00E66B56" w:rsidRDefault="001B399E" w:rsidP="00402799">
      <w:pPr>
        <w:pStyle w:val="Para1"/>
      </w:pPr>
      <w:r>
        <w:t xml:space="preserve">The plan </w:t>
      </w:r>
      <w:r w:rsidR="00BD53B1">
        <w:t>places</w:t>
      </w:r>
      <w:r>
        <w:t xml:space="preserve"> the site within </w:t>
      </w:r>
      <w:r w:rsidR="00BD53B1">
        <w:t xml:space="preserve">the </w:t>
      </w:r>
      <w:r>
        <w:t xml:space="preserve">Category 2 Accessible Areas, as well as Category 8 – Garden City Suburbs. </w:t>
      </w:r>
      <w:r w:rsidR="00BD53B1">
        <w:t xml:space="preserve"> </w:t>
      </w:r>
      <w:r>
        <w:t>The strategy indicates that, lower density units and town house developments are expected</w:t>
      </w:r>
      <w:r w:rsidR="00160659">
        <w:t xml:space="preserve"> to be within accessible areas </w:t>
      </w:r>
      <w:r>
        <w:t xml:space="preserve">and </w:t>
      </w:r>
      <w:r w:rsidR="00E33760">
        <w:t xml:space="preserve">even </w:t>
      </w:r>
      <w:r>
        <w:t>apartment forms of housing may be acceptable at the interface with activity centre</w:t>
      </w:r>
      <w:r w:rsidR="00BD53B1">
        <w:t>s</w:t>
      </w:r>
      <w:r>
        <w:t xml:space="preserve">.  I find that the development of three double storey dwellings on this site is consistent with the Monash Housing Strategy.  </w:t>
      </w:r>
    </w:p>
    <w:p w:rsidR="001B399E" w:rsidRDefault="00C07264" w:rsidP="001B399E">
      <w:pPr>
        <w:pStyle w:val="Heading3"/>
      </w:pPr>
      <w:r>
        <w:rPr>
          <w:noProof/>
          <w:lang w:eastAsia="en-AU"/>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2" name="VCAT Seal7"/>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B399E">
        <w:t>Amendment C125 (part 2)</w:t>
      </w:r>
    </w:p>
    <w:p w:rsidR="001B399E" w:rsidRDefault="001B399E" w:rsidP="00402799">
      <w:pPr>
        <w:pStyle w:val="Para1"/>
      </w:pPr>
      <w:r>
        <w:t xml:space="preserve">Amendment C125 originally proposed to include the subject site within a General Residential Zone Schedule 4 (GRZ4).  The planning panel for the amendment recommended that this zone be combined with the </w:t>
      </w:r>
      <w:r w:rsidR="005178DF">
        <w:t xml:space="preserve">proposed General Residential Zone Schedule 3 (GRZ3), with a revised schedule. </w:t>
      </w:r>
    </w:p>
    <w:p w:rsidR="005178DF" w:rsidRDefault="00771935" w:rsidP="00402799">
      <w:pPr>
        <w:pStyle w:val="Para1"/>
      </w:pPr>
      <w:r>
        <w:t xml:space="preserve">Council agreed with the combining of the GRZ3 and GRZ4 zones but did not agree with all of the </w:t>
      </w:r>
      <w:r w:rsidR="00617E45">
        <w:t>Panel</w:t>
      </w:r>
      <w:r>
        <w:t xml:space="preserve">’s recommendations with respect to the content of the schedule.  The adopted schedule, which is now before the </w:t>
      </w:r>
      <w:r w:rsidR="00617E45">
        <w:t>M</w:t>
      </w:r>
      <w:r>
        <w:t xml:space="preserve">inister </w:t>
      </w:r>
      <w:r w:rsidR="00617E45">
        <w:t xml:space="preserve">for Planning </w:t>
      </w:r>
      <w:r>
        <w:t xml:space="preserve">for final approval, </w:t>
      </w:r>
      <w:r w:rsidR="00564B12">
        <w:t xml:space="preserve">has altered the </w:t>
      </w:r>
      <w:r w:rsidR="00617E45">
        <w:t xml:space="preserve">Panel’s </w:t>
      </w:r>
      <w:r w:rsidR="00564B12">
        <w:t>recommendations for front setback</w:t>
      </w:r>
      <w:r w:rsidR="00617E45">
        <w:t>s</w:t>
      </w:r>
      <w:r w:rsidR="00564B12">
        <w:t xml:space="preserve">, landscaping, private open space and front fences.  </w:t>
      </w:r>
    </w:p>
    <w:p w:rsidR="00564B12" w:rsidRDefault="00564B12" w:rsidP="00402799">
      <w:pPr>
        <w:pStyle w:val="Para1"/>
      </w:pPr>
      <w:r>
        <w:t xml:space="preserve">On the 25 February 2018 the Minister for Planning wrote to Monash City Council advising that </w:t>
      </w:r>
      <w:r w:rsidR="00617E45">
        <w:t>A</w:t>
      </w:r>
      <w:r>
        <w:t>mendment C125 would be split into two parts.  Part 1 has been approved and gazetted.  Part 2, which included the revised General Residential Zone</w:t>
      </w:r>
      <w:r w:rsidR="00617E45">
        <w:t>,</w:t>
      </w:r>
      <w:r>
        <w:t xml:space="preserve"> require</w:t>
      </w:r>
      <w:r w:rsidR="00617E45">
        <w:t>d</w:t>
      </w:r>
      <w:r>
        <w:t xml:space="preserve"> further work;</w:t>
      </w:r>
    </w:p>
    <w:p w:rsidR="00564B12" w:rsidRDefault="00564B12" w:rsidP="00564B12">
      <w:pPr>
        <w:pStyle w:val="Quote1"/>
      </w:pPr>
      <w:r>
        <w:t xml:space="preserve">I consider Part 2 requires further strategic work on the council's application of the GRZ. The adopted GRZ features a 9-metre-high discretionary building height control. This approach is no longer possible due to changes to the Victoria Planning Provisions introduced by VC110. Consequently, the council should review the application of the zone. In locations where the council is trying to maintain lower-scale residential development and character, the NRZ may be more appropriate. In other locations, such as in and around activity and neighbourhood centres, accessible areas and along boulevards where the council's housing strategy is identifying the need for further growth, a GRZ or even a RGZ may be more appropriate. </w:t>
      </w:r>
      <w:r w:rsidR="004E443A">
        <w:t xml:space="preserve"> </w:t>
      </w:r>
      <w:r>
        <w:t>Therefore under Section 32 of the Act, I direct the council to give more notice of Amendment C125 (Part 2) where it seeks to change the zone from GRZ to NRZ or GRZ to RGZ and comply again with sections 21 to 31, which relate to all matters after the giving of notice.</w:t>
      </w:r>
    </w:p>
    <w:p w:rsidR="00564B12" w:rsidRPr="00843EAF" w:rsidRDefault="00E33760" w:rsidP="00402799">
      <w:pPr>
        <w:pStyle w:val="Para1"/>
      </w:pPr>
      <w:r>
        <w:t xml:space="preserve">On 27 March 2018, Monash City Council requested that the Minister approve Part 2 of the amendment as previously adopted by Council.  The Tribunal is unaware if there </w:t>
      </w:r>
      <w:r w:rsidR="00617E45">
        <w:t>have</w:t>
      </w:r>
      <w:r>
        <w:t xml:space="preserve"> been any further discussions between Council and the Minister for Planning as to the proposed amendment, and in particular the proposed GRZ3.  Given the circumstances of the amendment, I find I cannot consider the proposal to rezone the land to GRZ3 as seriously entertained, and I have not given the proposed zoning any weight in my decision.</w:t>
      </w:r>
    </w:p>
    <w:p w:rsidR="00617E45" w:rsidRDefault="00617E45">
      <w:pPr>
        <w:rPr>
          <w:rFonts w:ascii="Arial" w:hAnsi="Arial"/>
          <w:b/>
          <w:iCs/>
          <w:caps/>
          <w:sz w:val="24"/>
          <w:szCs w:val="24"/>
        </w:rPr>
      </w:pPr>
      <w:r>
        <w:br w:type="page"/>
      </w:r>
    </w:p>
    <w:p w:rsidR="00E200CF" w:rsidRDefault="00C07264" w:rsidP="00E200CF">
      <w:pPr>
        <w:pStyle w:val="Heading2"/>
      </w:pPr>
      <w:r>
        <w:rPr>
          <w:noProof/>
          <w:lang w:eastAsia="en-AU"/>
        </w:rPr>
        <w:lastRenderedPageBreak/>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3" name="VCAT Seal8"/>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45EA1" w:rsidRPr="00273799">
        <w:t>Is the proposal respectful of the neighbourhood character?</w:t>
      </w:r>
    </w:p>
    <w:p w:rsidR="00845EA1" w:rsidRDefault="00845EA1" w:rsidP="008853B9">
      <w:pPr>
        <w:pStyle w:val="Para1"/>
        <w:rPr>
          <w:lang w:eastAsia="en-AU"/>
        </w:rPr>
      </w:pPr>
      <w:r>
        <w:t xml:space="preserve">The purposes of the GRZ2 also </w:t>
      </w:r>
      <w:r>
        <w:rPr>
          <w:lang w:eastAsia="en-AU"/>
        </w:rPr>
        <w:t>encourage development that respects the neighbourhood character of the area.</w:t>
      </w:r>
    </w:p>
    <w:p w:rsidR="00845EA1" w:rsidRPr="00845EA1" w:rsidRDefault="00845EA1" w:rsidP="00845EA1">
      <w:pPr>
        <w:pStyle w:val="Para1"/>
        <w:rPr>
          <w:lang w:val="en" w:eastAsia="en-AU"/>
        </w:rPr>
      </w:pPr>
      <w:r w:rsidRPr="00845EA1">
        <w:rPr>
          <w:lang w:val="en" w:eastAsia="en-AU"/>
        </w:rPr>
        <w:t>Clause 55.02-1 states that design of medium density developments should respect the existing neighbourhood character or contributes to a preferred neighbourhood character.</w:t>
      </w:r>
    </w:p>
    <w:p w:rsidR="00845EA1" w:rsidRDefault="00845EA1" w:rsidP="00845EA1">
      <w:pPr>
        <w:pStyle w:val="Para1"/>
        <w:rPr>
          <w:lang w:val="en" w:eastAsia="en-AU"/>
        </w:rPr>
      </w:pPr>
      <w:r w:rsidRPr="00845EA1">
        <w:rPr>
          <w:lang w:val="en" w:eastAsia="en-AU"/>
        </w:rPr>
        <w:t xml:space="preserve">Clause 22.01 of the Monash </w:t>
      </w:r>
      <w:r w:rsidR="00617E45">
        <w:rPr>
          <w:lang w:val="en" w:eastAsia="en-AU"/>
        </w:rPr>
        <w:t>P</w:t>
      </w:r>
      <w:r w:rsidRPr="00845EA1">
        <w:rPr>
          <w:lang w:val="en" w:eastAsia="en-AU"/>
        </w:rPr>
        <w:t xml:space="preserve">lanning </w:t>
      </w:r>
      <w:r w:rsidR="00617E45">
        <w:rPr>
          <w:lang w:val="en" w:eastAsia="en-AU"/>
        </w:rPr>
        <w:t>S</w:t>
      </w:r>
      <w:r w:rsidRPr="00845EA1">
        <w:rPr>
          <w:lang w:val="en" w:eastAsia="en-AU"/>
        </w:rPr>
        <w:t xml:space="preserve">cheme contains the residential development and character policy. The policy divides the municipality into various character precincts, with the subject site included within </w:t>
      </w:r>
      <w:r>
        <w:rPr>
          <w:lang w:val="en" w:eastAsia="en-AU"/>
        </w:rPr>
        <w:t>Precinct E.  The current character of the precinct is described as follows:</w:t>
      </w:r>
    </w:p>
    <w:p w:rsidR="00845EA1" w:rsidRPr="00845EA1" w:rsidRDefault="00845EA1" w:rsidP="00845EA1">
      <w:pPr>
        <w:pStyle w:val="Quote1"/>
        <w:rPr>
          <w:lang w:val="en" w:eastAsia="en-AU"/>
        </w:rPr>
      </w:pPr>
      <w:r>
        <w:rPr>
          <w:lang w:eastAsia="en-AU"/>
        </w:rPr>
        <w:t>This area is characterised by a variety of building types. Most are one and two storey 1970’s and 1980’s brick veneer single and double fronted villas. A range of brick colours are used but the palette is often consistent within neighbourhoods. The roofs are varied but in most areas have low pitched hip forms.</w:t>
      </w:r>
    </w:p>
    <w:p w:rsidR="00E200CF" w:rsidRDefault="006768E6" w:rsidP="00E200CF">
      <w:pPr>
        <w:pStyle w:val="Para1"/>
      </w:pPr>
      <w:r>
        <w:t xml:space="preserve">Ms Bell questioned why Wandoo Court has been included within the precinct as it was established within the 1960s, earlier than the time period expressed in the character statement.  </w:t>
      </w:r>
    </w:p>
    <w:p w:rsidR="006768E6" w:rsidRDefault="006768E6" w:rsidP="006768E6">
      <w:pPr>
        <w:pStyle w:val="Para1"/>
      </w:pPr>
      <w:r w:rsidRPr="006768E6">
        <w:t xml:space="preserve">Clause 21.04-1 </w:t>
      </w:r>
      <w:r>
        <w:t xml:space="preserve">of the scheme </w:t>
      </w:r>
      <w:r w:rsidRPr="006768E6">
        <w:t xml:space="preserve">dates </w:t>
      </w:r>
      <w:r>
        <w:t>housing within P</w:t>
      </w:r>
      <w:r w:rsidRPr="006768E6">
        <w:t xml:space="preserve">recinct E as ‘post 1965’, whereas the </w:t>
      </w:r>
      <w:r>
        <w:t>m</w:t>
      </w:r>
      <w:r w:rsidRPr="006768E6">
        <w:t>ap to the Clause</w:t>
      </w:r>
      <w:r>
        <w:t>, as shown in the map below</w:t>
      </w:r>
      <w:r w:rsidRPr="006768E6">
        <w:t xml:space="preserve"> dates the precinct from 1955.  </w:t>
      </w:r>
    </w:p>
    <w:p w:rsidR="006768E6" w:rsidRDefault="006768E6" w:rsidP="00617E45">
      <w:pPr>
        <w:pStyle w:val="Para1"/>
        <w:numPr>
          <w:ilvl w:val="0"/>
          <w:numId w:val="0"/>
        </w:numPr>
        <w:ind w:left="567" w:firstLine="993"/>
      </w:pPr>
      <w:r>
        <w:rPr>
          <w:noProof/>
          <w:lang w:eastAsia="en-AU"/>
        </w:rPr>
        <w:drawing>
          <wp:inline distT="0" distB="0" distL="0" distR="0" wp14:anchorId="6048F212" wp14:editId="697B8F1A">
            <wp:extent cx="4113087" cy="2815273"/>
            <wp:effectExtent l="127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129246" cy="2826333"/>
                    </a:xfrm>
                    <a:prstGeom prst="rect">
                      <a:avLst/>
                    </a:prstGeom>
                  </pic:spPr>
                </pic:pic>
              </a:graphicData>
            </a:graphic>
          </wp:inline>
        </w:drawing>
      </w:r>
    </w:p>
    <w:p w:rsidR="006768E6" w:rsidRDefault="00C07264" w:rsidP="006768E6">
      <w:pPr>
        <w:pStyle w:val="Para1"/>
      </w:pPr>
      <w:r>
        <w:rPr>
          <w:noProof/>
          <w:lang w:eastAsia="en-AU"/>
        </w:rPr>
        <w:lastRenderedPageBreak/>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4" name="VCAT Seal9"/>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768E6">
        <w:t xml:space="preserve">Areas included within </w:t>
      </w:r>
      <w:r w:rsidR="00617E45">
        <w:t>P</w:t>
      </w:r>
      <w:r w:rsidR="006768E6">
        <w:t xml:space="preserve">recinct E are generally areas east of Springvale Road.  </w:t>
      </w:r>
      <w:r w:rsidR="004D3F0A">
        <w:t>Housing</w:t>
      </w:r>
      <w:r w:rsidR="006768E6">
        <w:t xml:space="preserve"> within this </w:t>
      </w:r>
      <w:r w:rsidR="00D64ACC">
        <w:t xml:space="preserve">large </w:t>
      </w:r>
      <w:r w:rsidR="006768E6">
        <w:t xml:space="preserve">area would date from a wide variety of time periods, with the overwhelming majority occurring post war.  To my mind, </w:t>
      </w:r>
      <w:r w:rsidR="004D3F0A">
        <w:t>the focus should not be on whether the age of the housing stock is correct</w:t>
      </w:r>
      <w:r w:rsidR="004E443A">
        <w:t>ly identified</w:t>
      </w:r>
      <w:r w:rsidR="00617E45">
        <w:t xml:space="preserve"> by the policy</w:t>
      </w:r>
      <w:r w:rsidR="004D3F0A">
        <w:t>, rather it should be on whether this proposal is consistent with the preferred character statement for the precinct</w:t>
      </w:r>
      <w:r w:rsidR="004E443A">
        <w:t>, which is:</w:t>
      </w:r>
    </w:p>
    <w:p w:rsidR="004E443A" w:rsidRDefault="004E443A" w:rsidP="00E769D1">
      <w:pPr>
        <w:pStyle w:val="Quote1"/>
        <w:rPr>
          <w:lang w:eastAsia="en-AU"/>
        </w:rPr>
      </w:pPr>
      <w:r>
        <w:rPr>
          <w:lang w:eastAsia="en-AU"/>
        </w:rPr>
        <w:t>The urban character of this area will evolve within a landscape that has a large number of native trees spread throughout both the public and private domain providing an overhead canopy visually unifying the diverse built-form of some neighbourhoods and providing a strong relationship with the semi-natural landscape of Dandenong Creek.</w:t>
      </w:r>
    </w:p>
    <w:p w:rsidR="004E443A" w:rsidRDefault="004E443A" w:rsidP="00E769D1">
      <w:pPr>
        <w:pStyle w:val="Quote1"/>
        <w:rPr>
          <w:lang w:eastAsia="en-AU"/>
        </w:rPr>
      </w:pPr>
      <w:r>
        <w:rPr>
          <w:lang w:eastAsia="en-AU"/>
        </w:rPr>
        <w:t>Dwellings will be designed to sympathetically integrate with any existing native trees and shrubs on, or adjacent to, the development site and relate in form and siting to the topography of the Character Type. Architecture of contemporary excellence that is energy efficient and sustainable will be encouraged. Building scale, height and bulk will be generally similar within neighbourhoods.</w:t>
      </w:r>
    </w:p>
    <w:p w:rsidR="004E443A" w:rsidRDefault="004E443A" w:rsidP="00E769D1">
      <w:pPr>
        <w:pStyle w:val="Quote1"/>
        <w:rPr>
          <w:lang w:eastAsia="en-AU"/>
        </w:rPr>
      </w:pPr>
      <w:r>
        <w:rPr>
          <w:lang w:eastAsia="en-AU"/>
        </w:rPr>
        <w:t>Large scale contrasts between buildings will be discouraged except where existing trees and shrubs soften the junction between buildings or where there is a gradated change in scale.</w:t>
      </w:r>
    </w:p>
    <w:p w:rsidR="004E443A" w:rsidRDefault="004E443A" w:rsidP="00E769D1">
      <w:pPr>
        <w:pStyle w:val="Quote1"/>
        <w:rPr>
          <w:lang w:eastAsia="en-AU"/>
        </w:rPr>
      </w:pPr>
      <w:r>
        <w:rPr>
          <w:lang w:eastAsia="en-AU"/>
        </w:rPr>
        <w:t>Setbacks will be varied in many neighbourhoods but will be consistent within individual streets</w:t>
      </w:r>
      <w:r w:rsidR="00E769D1">
        <w:rPr>
          <w:lang w:eastAsia="en-AU"/>
        </w:rPr>
        <w:t xml:space="preserve"> </w:t>
      </w:r>
      <w:r>
        <w:rPr>
          <w:lang w:eastAsia="en-AU"/>
        </w:rPr>
        <w:t>and will be sufficiently generous to enable the development of significant native tree canopy and</w:t>
      </w:r>
      <w:r w:rsidR="00E769D1">
        <w:rPr>
          <w:lang w:eastAsia="en-AU"/>
        </w:rPr>
        <w:t xml:space="preserve"> </w:t>
      </w:r>
      <w:r>
        <w:rPr>
          <w:lang w:eastAsia="en-AU"/>
        </w:rPr>
        <w:t>vegetation. The main unifying element will be the canopy of native trees in both the public and</w:t>
      </w:r>
      <w:r w:rsidR="00E769D1">
        <w:rPr>
          <w:lang w:eastAsia="en-AU"/>
        </w:rPr>
        <w:t xml:space="preserve"> </w:t>
      </w:r>
      <w:r>
        <w:rPr>
          <w:lang w:eastAsia="en-AU"/>
        </w:rPr>
        <w:t>private domain. Most gardens will be open to the street with no walls or fences, allowing the soft</w:t>
      </w:r>
      <w:r w:rsidR="00E769D1">
        <w:rPr>
          <w:lang w:eastAsia="en-AU"/>
        </w:rPr>
        <w:t xml:space="preserve"> </w:t>
      </w:r>
      <w:r>
        <w:rPr>
          <w:lang w:eastAsia="en-AU"/>
        </w:rPr>
        <w:t>naturalistic qualities of most neighbourhoods to be retained. Large walls and fences will be</w:t>
      </w:r>
      <w:r w:rsidR="00E769D1">
        <w:rPr>
          <w:lang w:eastAsia="en-AU"/>
        </w:rPr>
        <w:t xml:space="preserve"> </w:t>
      </w:r>
      <w:r>
        <w:rPr>
          <w:lang w:eastAsia="en-AU"/>
        </w:rPr>
        <w:t>discouraged except where they are already a visually dominant streetscape element.</w:t>
      </w:r>
    </w:p>
    <w:p w:rsidR="004E443A" w:rsidRDefault="004E443A" w:rsidP="00E769D1">
      <w:pPr>
        <w:pStyle w:val="Quote1"/>
        <w:rPr>
          <w:lang w:eastAsia="en-AU"/>
        </w:rPr>
      </w:pPr>
      <w:r>
        <w:rPr>
          <w:lang w:eastAsia="en-AU"/>
        </w:rPr>
        <w:t>The soft quality of the street that is derived in part from the nature strips will be maintained by</w:t>
      </w:r>
      <w:r w:rsidR="00E769D1">
        <w:rPr>
          <w:lang w:eastAsia="en-AU"/>
        </w:rPr>
        <w:t xml:space="preserve"> </w:t>
      </w:r>
      <w:r>
        <w:rPr>
          <w:lang w:eastAsia="en-AU"/>
        </w:rPr>
        <w:t>ensuring that there is only one single crossover per lot frontage.</w:t>
      </w:r>
    </w:p>
    <w:p w:rsidR="004E443A" w:rsidRDefault="004E443A" w:rsidP="00E769D1">
      <w:pPr>
        <w:pStyle w:val="Quote1"/>
      </w:pPr>
      <w:r>
        <w:rPr>
          <w:lang w:eastAsia="en-AU"/>
        </w:rPr>
        <w:t>Planting will generally enable filtered views of the architecture and engender a sense of visual</w:t>
      </w:r>
      <w:r w:rsidR="00E769D1">
        <w:rPr>
          <w:lang w:eastAsia="en-AU"/>
        </w:rPr>
        <w:t xml:space="preserve"> </w:t>
      </w:r>
      <w:r>
        <w:rPr>
          <w:lang w:eastAsia="en-AU"/>
        </w:rPr>
        <w:t>continuity with the street and adjacent properties.</w:t>
      </w:r>
      <w:r w:rsidR="00E769D1">
        <w:rPr>
          <w:rStyle w:val="FootnoteReference"/>
          <w:lang w:eastAsia="en-AU"/>
        </w:rPr>
        <w:footnoteReference w:id="4"/>
      </w:r>
    </w:p>
    <w:p w:rsidR="004D3F0A" w:rsidRDefault="00E769D1" w:rsidP="006768E6">
      <w:pPr>
        <w:pStyle w:val="Para1"/>
      </w:pPr>
      <w:r>
        <w:t xml:space="preserve">The preferred character statement is supported by variations to the </w:t>
      </w:r>
      <w:r w:rsidR="00617E45">
        <w:t>GRZ</w:t>
      </w:r>
      <w:r>
        <w:t>2 which requires a front setback of 7.6 metres and at least 75</w:t>
      </w:r>
      <w:r w:rsidR="00DE03F9">
        <w:t xml:space="preserve"> </w:t>
      </w:r>
      <w:r>
        <w:t xml:space="preserve">square metres of private open space per dwelling.  The proposal complies with these requirements, which will enable the planting of native canopy trees as desired by the character statement.  </w:t>
      </w:r>
      <w:r w:rsidR="00DE03F9">
        <w:t xml:space="preserve">I note that conditions of the Notice of Decision have required the preparation, implementation and maintenance of a landscaping plan, which I consider to be appropriate.  </w:t>
      </w:r>
    </w:p>
    <w:p w:rsidR="00DE03F9" w:rsidRDefault="00C07264" w:rsidP="006768E6">
      <w:pPr>
        <w:pStyle w:val="Para1"/>
      </w:pPr>
      <w:r>
        <w:rPr>
          <w:noProof/>
          <w:lang w:eastAsia="en-AU"/>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5" name="VCAT Seal10"/>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8098F">
        <w:t>The</w:t>
      </w:r>
      <w:r w:rsidR="00DE03F9">
        <w:t xml:space="preserve"> plans indicate that the proposed buildings may affect the health and viability of neighbouring trees,</w:t>
      </w:r>
      <w:r w:rsidR="00F8098F">
        <w:t xml:space="preserve"> particularly those</w:t>
      </w:r>
      <w:r w:rsidR="00DE03F9">
        <w:t xml:space="preserve"> located within </w:t>
      </w:r>
      <w:r w:rsidR="0094083D">
        <w:t xml:space="preserve">12 Wandoo Court and trees located close to the western boundary of the site within 10 Wandoo Court.  I have therefore required an arborist report which details any design changes or construction methods necessary to ensure the health and viability of the neighbouring trees as conditions of permit.  </w:t>
      </w:r>
    </w:p>
    <w:p w:rsidR="00F8098F" w:rsidRDefault="00F8098F" w:rsidP="006768E6">
      <w:pPr>
        <w:pStyle w:val="Para1"/>
      </w:pPr>
      <w:r>
        <w:t xml:space="preserve">With respect to the overall style of the development, I find that the architectural style and layout of the dwellings will be a comfortable fit within the streetscape, particularly due to the choice of roof pitch and materials such </w:t>
      </w:r>
      <w:r w:rsidR="000F731B">
        <w:t xml:space="preserve">as face </w:t>
      </w:r>
      <w:r>
        <w:t xml:space="preserve">brick work.  Conditions on the permit require the building to be constructed substantially of brick or brick veneer in accordance with the restrictive covenant that applies to the land, which will further ensure that the development is consistent with the character of the area.  </w:t>
      </w:r>
    </w:p>
    <w:p w:rsidR="00F8098F" w:rsidRDefault="00F8098F" w:rsidP="00F8098F">
      <w:pPr>
        <w:pStyle w:val="Heading2"/>
      </w:pPr>
      <w:r w:rsidRPr="00273799">
        <w:t>Does the proposal provide adequate car parking?</w:t>
      </w:r>
    </w:p>
    <w:p w:rsidR="00F8098F" w:rsidRDefault="00F8098F" w:rsidP="006768E6">
      <w:pPr>
        <w:pStyle w:val="Para1"/>
      </w:pPr>
      <w:r>
        <w:t>The application proposes to provide a single garage for dwelling three and a double garage for dwellings one and two.  Whilst I am satisfied that the provision is consistent with the requirements of the scheme</w:t>
      </w:r>
      <w:r w:rsidR="00380837">
        <w:rPr>
          <w:rStyle w:val="FootnoteReference"/>
        </w:rPr>
        <w:footnoteReference w:id="5"/>
      </w:r>
      <w:r>
        <w:t xml:space="preserve"> for dwellings one and two, I share Council’s and Ms Bell’s concerns that the one </w:t>
      </w:r>
      <w:r w:rsidR="000F731B">
        <w:t xml:space="preserve">car </w:t>
      </w:r>
      <w:r>
        <w:t>space may not be adequate for dwelling three, as the layout of this dwelling includes a retreat which could easily be converted to a</w:t>
      </w:r>
      <w:r w:rsidR="00380837">
        <w:t xml:space="preserve"> third</w:t>
      </w:r>
      <w:r>
        <w:t xml:space="preserve"> bedroom:</w:t>
      </w:r>
      <w:r w:rsidR="000F731B">
        <w:rPr>
          <w:rStyle w:val="FootnoteReference"/>
        </w:rPr>
        <w:footnoteReference w:id="6"/>
      </w:r>
    </w:p>
    <w:p w:rsidR="00380837" w:rsidRDefault="00380837" w:rsidP="000F731B">
      <w:pPr>
        <w:pStyle w:val="Para1"/>
        <w:numPr>
          <w:ilvl w:val="0"/>
          <w:numId w:val="0"/>
        </w:numPr>
        <w:ind w:left="567" w:firstLine="1701"/>
      </w:pPr>
      <w:r>
        <w:rPr>
          <w:noProof/>
          <w:lang w:eastAsia="en-AU"/>
        </w:rPr>
        <w:drawing>
          <wp:inline distT="0" distB="0" distL="0" distR="0" wp14:anchorId="4B827A4A" wp14:editId="58BC3F50">
            <wp:extent cx="265747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7475" cy="2571750"/>
                    </a:xfrm>
                    <a:prstGeom prst="rect">
                      <a:avLst/>
                    </a:prstGeom>
                  </pic:spPr>
                </pic:pic>
              </a:graphicData>
            </a:graphic>
          </wp:inline>
        </w:drawing>
      </w:r>
    </w:p>
    <w:p w:rsidR="00894409" w:rsidRDefault="00380837" w:rsidP="006768E6">
      <w:pPr>
        <w:pStyle w:val="Para1"/>
      </w:pPr>
      <w:r>
        <w:t xml:space="preserve">Condition 1(b) of the </w:t>
      </w:r>
      <w:r w:rsidR="000F731B">
        <w:t>N</w:t>
      </w:r>
      <w:r>
        <w:t xml:space="preserve">otice of </w:t>
      </w:r>
      <w:r w:rsidR="000F731B">
        <w:t>D</w:t>
      </w:r>
      <w:r>
        <w:t xml:space="preserve">ecision requires a reconfiguration of this level to avoid the retreat area, which I consider </w:t>
      </w:r>
      <w:r w:rsidR="000F731B">
        <w:t xml:space="preserve">is </w:t>
      </w:r>
      <w:r>
        <w:t xml:space="preserve">appropriate to ensure that this dwelling is a two bedroom dwelling, and therefore only requires one car space under the provisions of the scheme.  </w:t>
      </w:r>
    </w:p>
    <w:p w:rsidR="00380837" w:rsidRDefault="00C07264" w:rsidP="006768E6">
      <w:pPr>
        <w:pStyle w:val="Para1"/>
      </w:pPr>
      <w:r>
        <w:rPr>
          <w:noProof/>
          <w:lang w:eastAsia="en-AU"/>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6" name="VCAT Seal1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80837">
        <w:t xml:space="preserve">As this proposal is for three dwellings, Clause 52.06 does not require the provision of a visitor space for the development, and as such visitors will be required to park on street when visiting the site.  </w:t>
      </w:r>
    </w:p>
    <w:p w:rsidR="00380837" w:rsidRDefault="00380837" w:rsidP="006768E6">
      <w:pPr>
        <w:pStyle w:val="Para1"/>
      </w:pPr>
      <w:r>
        <w:t xml:space="preserve">Ms Bell raised concern that </w:t>
      </w:r>
      <w:r w:rsidR="000F731B">
        <w:t>whilst</w:t>
      </w:r>
      <w:r>
        <w:t xml:space="preserve"> the </w:t>
      </w:r>
      <w:r w:rsidR="000F731B">
        <w:t xml:space="preserve">visitor car space </w:t>
      </w:r>
      <w:r>
        <w:t xml:space="preserve">will easily be accommodated within Wandoo </w:t>
      </w:r>
      <w:r w:rsidR="000F731B">
        <w:t>Court</w:t>
      </w:r>
      <w:r>
        <w:t xml:space="preserve">, she was concerned that if </w:t>
      </w:r>
      <w:r w:rsidR="00757068">
        <w:t xml:space="preserve">more medium density developments are established within the </w:t>
      </w:r>
      <w:r w:rsidR="000F731B">
        <w:t>court</w:t>
      </w:r>
      <w:r w:rsidR="00757068">
        <w:t>, this would lead to an increase in on street parking, similar to that currently experienced in Banksia C</w:t>
      </w:r>
      <w:r w:rsidR="000F731B">
        <w:t>ourt</w:t>
      </w:r>
      <w:r w:rsidR="00757068">
        <w:t>.</w:t>
      </w:r>
    </w:p>
    <w:p w:rsidR="00757068" w:rsidRDefault="00757068" w:rsidP="00757068">
      <w:pPr>
        <w:pStyle w:val="Para1"/>
        <w:numPr>
          <w:ilvl w:val="0"/>
          <w:numId w:val="0"/>
        </w:numPr>
        <w:ind w:left="567"/>
      </w:pPr>
      <w:r>
        <w:rPr>
          <w:noProof/>
          <w:lang w:eastAsia="en-AU"/>
        </w:rPr>
        <w:drawing>
          <wp:inline distT="0" distB="0" distL="0" distR="0" wp14:anchorId="5A3D5C6E" wp14:editId="7ABEB432">
            <wp:extent cx="5400675" cy="49523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4952365"/>
                    </a:xfrm>
                    <a:prstGeom prst="rect">
                      <a:avLst/>
                    </a:prstGeom>
                  </pic:spPr>
                </pic:pic>
              </a:graphicData>
            </a:graphic>
          </wp:inline>
        </w:drawing>
      </w:r>
    </w:p>
    <w:p w:rsidR="00757068" w:rsidRPr="006768E6" w:rsidRDefault="00757068" w:rsidP="00757068">
      <w:pPr>
        <w:pStyle w:val="Para1"/>
      </w:pPr>
      <w:r>
        <w:t>The above Nearmap image</w:t>
      </w:r>
      <w:r w:rsidR="00B1453F">
        <w:rPr>
          <w:rStyle w:val="FootnoteReference"/>
        </w:rPr>
        <w:footnoteReference w:id="7"/>
      </w:r>
      <w:r>
        <w:t>, taken on Saturday 23 February 2019 indicates that Banksia Court does experience a greater level of on street parking tha</w:t>
      </w:r>
      <w:r w:rsidR="000F731B">
        <w:t>n</w:t>
      </w:r>
      <w:r>
        <w:t xml:space="preserve"> Wandoo </w:t>
      </w:r>
      <w:r w:rsidR="000F731B">
        <w:t>Court</w:t>
      </w:r>
      <w:r>
        <w:t xml:space="preserve">.  This was confirmed in my early morning site inspection, where I observed a waste collection vehicle operating through Banksia Court.  I observed that even with vehicles parked on both sides of the street, the waste collection vehicle was still able to manoeuvre through the court to access the rubbish bins.  Whilst I have no doubt there are occasions when the truck has had to honk its horn to request residents to move a parked vehicle, parking restrictions have not been put in place within the court, </w:t>
      </w:r>
      <w:r w:rsidR="00C07264">
        <w:rPr>
          <w:noProof/>
          <w:lang w:eastAsia="en-AU"/>
        </w:rPr>
        <w:lastRenderedPageBreak/>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7" name="VCAT Seal12"/>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indicating that this is not a regular problem. </w:t>
      </w:r>
      <w:r w:rsidR="00E90789">
        <w:t xml:space="preserve"> With respect to this proposal, </w:t>
      </w:r>
      <w:r>
        <w:t xml:space="preserve">I am satisfied that the </w:t>
      </w:r>
      <w:r w:rsidR="000F731B">
        <w:t xml:space="preserve">need for an </w:t>
      </w:r>
      <w:r w:rsidR="00E90789">
        <w:t xml:space="preserve">additional </w:t>
      </w:r>
      <w:r>
        <w:t xml:space="preserve">visitor </w:t>
      </w:r>
      <w:r w:rsidR="000F731B">
        <w:t xml:space="preserve">space </w:t>
      </w:r>
      <w:r>
        <w:t xml:space="preserve">will be able to be comfortably accommodated within Wandoo Court.  </w:t>
      </w:r>
    </w:p>
    <w:p w:rsidR="00E200CF" w:rsidRDefault="00E90789" w:rsidP="00E200CF">
      <w:pPr>
        <w:pStyle w:val="Heading2"/>
      </w:pPr>
      <w:r>
        <w:t>Will the proposal unreasonably affect the amenity of the area through increased traffic?</w:t>
      </w:r>
    </w:p>
    <w:p w:rsidR="00E200CF" w:rsidRDefault="00E90789" w:rsidP="00E200CF">
      <w:pPr>
        <w:pStyle w:val="Para1"/>
      </w:pPr>
      <w:r>
        <w:t xml:space="preserve">Based on the road design standards provided at Clause 56.06-8 of the scheme, Wandoo Court would fall under the definition of a </w:t>
      </w:r>
      <w:r w:rsidR="000F731B">
        <w:t>‘L</w:t>
      </w:r>
      <w:r>
        <w:t>evel 1 Access Place</w:t>
      </w:r>
      <w:r w:rsidR="000F731B">
        <w:t>’</w:t>
      </w:r>
      <w:r>
        <w:t xml:space="preserve"> which has a design capacity of 1000 to 2000 vehicles per day.  </w:t>
      </w:r>
    </w:p>
    <w:p w:rsidR="004F1D7B" w:rsidRDefault="004F1D7B" w:rsidP="00E200CF">
      <w:pPr>
        <w:pStyle w:val="Para1"/>
      </w:pPr>
      <w:r>
        <w:t xml:space="preserve">During the hearing I was provided with a letter dated 13 February 2019 which indicates that </w:t>
      </w:r>
      <w:r w:rsidR="00D5549C">
        <w:t xml:space="preserve">in 2016 </w:t>
      </w:r>
      <w:r>
        <w:t>Blackwood Drive, located to the south of Wandoo Court</w:t>
      </w:r>
      <w:r w:rsidR="000F731B">
        <w:t>,</w:t>
      </w:r>
      <w:r>
        <w:t xml:space="preserve"> </w:t>
      </w:r>
      <w:r w:rsidR="00D5549C">
        <w:t>carried</w:t>
      </w:r>
      <w:r>
        <w:t xml:space="preserve"> approximately 1,447 vehicles per day, as a result of this road being used by motorists to avoid congestion on Ferntree Gully Road.  Wandoo Court would carry substantial</w:t>
      </w:r>
      <w:r w:rsidR="007270E3">
        <w:t>ly</w:t>
      </w:r>
      <w:r>
        <w:t xml:space="preserve"> less vehicles per day, as it is a court and not a through road</w:t>
      </w:r>
      <w:r w:rsidR="007270E3">
        <w:t xml:space="preserve"> and therefore would not carry vehicles seeking to avoid Ferntree Gully Road</w:t>
      </w:r>
      <w:r>
        <w:t xml:space="preserve">.  </w:t>
      </w:r>
      <w:r w:rsidR="00D5549C">
        <w:t xml:space="preserve">Using a conservative figure of 10 vehicles per day per dwelling, Wandoo Crescent would currently accommodate approximately 180 vehicles per day.  </w:t>
      </w:r>
      <w:r>
        <w:t>As such I am satisfied that the court</w:t>
      </w:r>
      <w:r w:rsidR="00D5549C">
        <w:t xml:space="preserve"> is not operating at </w:t>
      </w:r>
      <w:r w:rsidR="007270E3">
        <w:t xml:space="preserve">or even close to </w:t>
      </w:r>
      <w:r w:rsidR="00D5549C">
        <w:t xml:space="preserve">design capacity.  </w:t>
      </w:r>
    </w:p>
    <w:p w:rsidR="00D5549C" w:rsidRDefault="00D5549C" w:rsidP="00E200CF">
      <w:pPr>
        <w:pStyle w:val="Para1"/>
      </w:pPr>
      <w:r>
        <w:t xml:space="preserve">Using the Road and Traffic (RTA) publication “Guide to Traffic Generating Developments” Council calculated that the proposed three dwellings would generate between 14 to 18 daily trips per day.  I am satisfied based on the information before me that the court can accommodate this increase in traffic without significantly affecting the amenity of the neighbourhood.  </w:t>
      </w:r>
    </w:p>
    <w:p w:rsidR="00E200CF" w:rsidRDefault="00E200CF" w:rsidP="00E200CF">
      <w:pPr>
        <w:pStyle w:val="Heading2"/>
      </w:pPr>
      <w:r>
        <w:t>Conclusion</w:t>
      </w:r>
    </w:p>
    <w:p w:rsidR="00E200CF" w:rsidRPr="00B1453F" w:rsidRDefault="00E200CF" w:rsidP="00E200CF">
      <w:pPr>
        <w:pStyle w:val="Para1"/>
      </w:pPr>
      <w:r w:rsidRPr="00B1453F">
        <w:t xml:space="preserve">For the reasons given above, the decision of the </w:t>
      </w:r>
      <w:r w:rsidR="002563BE" w:rsidRPr="00B1453F">
        <w:t xml:space="preserve">responsible authority </w:t>
      </w:r>
      <w:r w:rsidRPr="00B1453F">
        <w:t>is varied.  A permit is granted subject to conditions.</w:t>
      </w:r>
    </w:p>
    <w:p w:rsidR="00E200CF" w:rsidRDefault="00E200CF" w:rsidP="00E200CF"/>
    <w:p w:rsidR="00E200CF" w:rsidRDefault="00E200CF" w:rsidP="00E200CF"/>
    <w:p w:rsidR="00E200CF" w:rsidRDefault="00E200CF" w:rsidP="00E200CF"/>
    <w:p w:rsidR="00E200CF" w:rsidRDefault="00E200CF" w:rsidP="00E200CF"/>
    <w:tbl>
      <w:tblPr>
        <w:tblW w:w="4999" w:type="pct"/>
        <w:tblLook w:val="0000" w:firstRow="0" w:lastRow="0" w:firstColumn="0" w:lastColumn="0" w:noHBand="0" w:noVBand="0"/>
      </w:tblPr>
      <w:tblGrid>
        <w:gridCol w:w="3423"/>
        <w:gridCol w:w="1660"/>
        <w:gridCol w:w="3420"/>
      </w:tblGrid>
      <w:tr w:rsidR="00CC60A6" w:rsidTr="00CC60A6">
        <w:tc>
          <w:tcPr>
            <w:tcW w:w="2013" w:type="pct"/>
          </w:tcPr>
          <w:p w:rsidR="00CC60A6" w:rsidRDefault="00B1453F" w:rsidP="00CC60A6">
            <w:pPr>
              <w:tabs>
                <w:tab w:val="left" w:pos="1515"/>
              </w:tabs>
              <w:spacing w:before="80" w:after="100"/>
              <w:rPr>
                <w:rFonts w:ascii="Times New Roman Bold" w:hAnsi="Times New Roman Bold"/>
                <w:b/>
              </w:rPr>
            </w:pPr>
            <w:r>
              <w:rPr>
                <w:rFonts w:ascii="Times New Roman Bold" w:hAnsi="Times New Roman Bold"/>
                <w:b/>
              </w:rPr>
              <w:t>Katherine Paterson</w:t>
            </w:r>
          </w:p>
        </w:tc>
        <w:tc>
          <w:tcPr>
            <w:tcW w:w="976" w:type="pct"/>
          </w:tcPr>
          <w:p w:rsidR="00CC60A6" w:rsidRDefault="00CC60A6" w:rsidP="00CC60A6"/>
        </w:tc>
        <w:tc>
          <w:tcPr>
            <w:tcW w:w="2011" w:type="pct"/>
          </w:tcPr>
          <w:p w:rsidR="00CC60A6" w:rsidRDefault="00CC60A6" w:rsidP="00CC60A6"/>
        </w:tc>
      </w:tr>
      <w:tr w:rsidR="00CC60A6" w:rsidTr="00CC60A6">
        <w:tc>
          <w:tcPr>
            <w:tcW w:w="2013" w:type="pct"/>
          </w:tcPr>
          <w:p w:rsidR="00CC60A6" w:rsidRDefault="00CC60A6" w:rsidP="00CC60A6">
            <w:pPr>
              <w:spacing w:before="80" w:after="100"/>
              <w:rPr>
                <w:b/>
              </w:rPr>
            </w:pPr>
            <w:r w:rsidRPr="00B1453F">
              <w:rPr>
                <w:b/>
              </w:rPr>
              <w:t>Member</w:t>
            </w:r>
          </w:p>
        </w:tc>
        <w:tc>
          <w:tcPr>
            <w:tcW w:w="976" w:type="pct"/>
          </w:tcPr>
          <w:p w:rsidR="00CC60A6" w:rsidRDefault="00CC60A6" w:rsidP="00CC60A6"/>
        </w:tc>
        <w:tc>
          <w:tcPr>
            <w:tcW w:w="2011" w:type="pct"/>
          </w:tcPr>
          <w:p w:rsidR="00CC60A6" w:rsidRDefault="00CC60A6" w:rsidP="00CC60A6"/>
        </w:tc>
      </w:tr>
    </w:tbl>
    <w:p w:rsidR="008B4936" w:rsidRDefault="008B4936" w:rsidP="00B1453F"/>
    <w:sectPr w:rsidR="008B4936">
      <w:footerReference w:type="default" r:id="rId13"/>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C70" w:rsidRDefault="00610C70">
      <w:r>
        <w:separator/>
      </w:r>
    </w:p>
  </w:endnote>
  <w:endnote w:type="continuationSeparator" w:id="0">
    <w:p w:rsidR="00610C70" w:rsidRDefault="0061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000" w:firstRow="0" w:lastRow="0" w:firstColumn="0" w:lastColumn="0" w:noHBand="0" w:noVBand="0"/>
    </w:tblPr>
    <w:tblGrid>
      <w:gridCol w:w="6607"/>
      <w:gridCol w:w="1898"/>
    </w:tblGrid>
    <w:tr w:rsidR="007F601B">
      <w:trPr>
        <w:cantSplit/>
      </w:trPr>
      <w:tc>
        <w:tcPr>
          <w:tcW w:w="3884" w:type="pct"/>
        </w:tcPr>
        <w:p w:rsidR="007F601B" w:rsidRDefault="007F601B">
          <w:pPr>
            <w:pStyle w:val="Footer"/>
            <w:spacing w:beforeLines="60" w:before="144"/>
            <w:rPr>
              <w:rFonts w:cs="Arial"/>
              <w:sz w:val="18"/>
              <w:szCs w:val="18"/>
            </w:rPr>
          </w:pPr>
          <w:bookmarkStart w:id="24" w:name="FooterDescription"/>
          <w:bookmarkStart w:id="25" w:name="FooterFileNo1"/>
          <w:bookmarkEnd w:id="24"/>
          <w:bookmarkEnd w:id="25"/>
          <w:r>
            <w:rPr>
              <w:rFonts w:cs="Arial"/>
              <w:sz w:val="18"/>
              <w:szCs w:val="18"/>
            </w:rPr>
            <w:t xml:space="preserve">VCAT Reference No. </w:t>
          </w:r>
          <w:r w:rsidR="001E1A40">
            <w:rPr>
              <w:rFonts w:cs="Arial"/>
              <w:sz w:val="18"/>
              <w:szCs w:val="18"/>
            </w:rPr>
            <w:t>P651/2019</w:t>
          </w:r>
        </w:p>
      </w:tc>
      <w:tc>
        <w:tcPr>
          <w:tcW w:w="1116" w:type="pct"/>
        </w:tcPr>
        <w:p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AA27A6">
            <w:rPr>
              <w:rFonts w:cs="Arial"/>
              <w:noProof/>
              <w:sz w:val="18"/>
              <w:szCs w:val="18"/>
            </w:rPr>
            <w:t>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AA27A6">
            <w:rPr>
              <w:rFonts w:cs="Arial"/>
              <w:noProof/>
              <w:sz w:val="18"/>
              <w:szCs w:val="18"/>
            </w:rPr>
            <w:t>12</w:t>
          </w:r>
          <w:r>
            <w:rPr>
              <w:rFonts w:cs="Arial"/>
              <w:sz w:val="18"/>
              <w:szCs w:val="18"/>
            </w:rPr>
            <w:fldChar w:fldCharType="end"/>
          </w:r>
        </w:p>
      </w:tc>
    </w:tr>
  </w:tbl>
  <w:p w:rsidR="007F601B" w:rsidRDefault="007F601B">
    <w:pPr>
      <w:pStyle w:val="Footer"/>
      <w:rPr>
        <w:sz w:val="2"/>
      </w:rPr>
    </w:pPr>
  </w:p>
  <w:p w:rsidR="007F601B" w:rsidRDefault="007F601B">
    <w:pPr>
      <w:rPr>
        <w:sz w:val="2"/>
      </w:rPr>
    </w:pPr>
  </w:p>
  <w:p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C70" w:rsidRDefault="00610C70">
      <w:pPr>
        <w:pStyle w:val="Footer"/>
        <w:pBdr>
          <w:top w:val="single" w:sz="4" w:space="1" w:color="auto"/>
        </w:pBdr>
        <w:rPr>
          <w:sz w:val="12"/>
        </w:rPr>
      </w:pPr>
    </w:p>
  </w:footnote>
  <w:footnote w:type="continuationSeparator" w:id="0">
    <w:p w:rsidR="00610C70" w:rsidRDefault="00610C70">
      <w:r>
        <w:continuationSeparator/>
      </w:r>
    </w:p>
  </w:footnote>
  <w:footnote w:id="1">
    <w:p w:rsidR="00E200CF" w:rsidRDefault="00E200CF"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rsidR="00FB5535" w:rsidRPr="00BD53B1" w:rsidRDefault="00FB5535" w:rsidP="00A14092">
      <w:pPr>
        <w:pStyle w:val="FootnoteText"/>
      </w:pPr>
      <w:r>
        <w:rPr>
          <w:rStyle w:val="FootnoteReference"/>
        </w:rPr>
        <w:footnoteRef/>
      </w:r>
      <w:r w:rsidR="00A14092">
        <w:tab/>
      </w:r>
      <w:r w:rsidRPr="00BD53B1">
        <w:t>https://online.melway.com.au/melway/ retrieved 30 October 2019</w:t>
      </w:r>
    </w:p>
  </w:footnote>
  <w:footnote w:id="3">
    <w:p w:rsidR="00A14092" w:rsidRPr="00BD53B1" w:rsidRDefault="00A14092" w:rsidP="00A14092">
      <w:pPr>
        <w:autoSpaceDE w:val="0"/>
        <w:autoSpaceDN w:val="0"/>
        <w:adjustRightInd w:val="0"/>
        <w:ind w:left="567" w:hanging="567"/>
        <w:rPr>
          <w:sz w:val="20"/>
          <w:szCs w:val="20"/>
        </w:rPr>
      </w:pPr>
      <w:r w:rsidRPr="00BD53B1">
        <w:rPr>
          <w:rStyle w:val="FootnoteReference"/>
          <w:sz w:val="20"/>
          <w:szCs w:val="20"/>
        </w:rPr>
        <w:footnoteRef/>
      </w:r>
      <w:r w:rsidRPr="00BD53B1">
        <w:rPr>
          <w:sz w:val="20"/>
          <w:szCs w:val="20"/>
        </w:rPr>
        <w:t xml:space="preserve"> </w:t>
      </w:r>
      <w:r w:rsidRPr="00BD53B1">
        <w:rPr>
          <w:sz w:val="20"/>
          <w:szCs w:val="20"/>
        </w:rPr>
        <w:tab/>
      </w:r>
      <w:r w:rsidRPr="00BD53B1">
        <w:rPr>
          <w:i/>
          <w:iCs/>
          <w:sz w:val="20"/>
          <w:szCs w:val="20"/>
          <w:lang w:eastAsia="en-AU"/>
        </w:rPr>
        <w:t xml:space="preserve">Plan Melbourne 2017-2050: Metropolitan Planning Strategy </w:t>
      </w:r>
      <w:r w:rsidRPr="00BD53B1">
        <w:rPr>
          <w:sz w:val="20"/>
          <w:szCs w:val="20"/>
          <w:lang w:eastAsia="en-AU"/>
        </w:rPr>
        <w:t>(Department of Environment, Land, Water and Planning, 2017), listed as a background document to Clauses 10 to 19 of the scheme at Clause 72.08</w:t>
      </w:r>
    </w:p>
  </w:footnote>
  <w:footnote w:id="4">
    <w:p w:rsidR="00E769D1" w:rsidRDefault="00E769D1">
      <w:pPr>
        <w:pStyle w:val="FootnoteText"/>
      </w:pPr>
      <w:r>
        <w:rPr>
          <w:rStyle w:val="FootnoteReference"/>
        </w:rPr>
        <w:footnoteRef/>
      </w:r>
      <w:r w:rsidR="00617E45">
        <w:tab/>
      </w:r>
      <w:r>
        <w:t>Clause 22.01-4</w:t>
      </w:r>
    </w:p>
  </w:footnote>
  <w:footnote w:id="5">
    <w:p w:rsidR="00380837" w:rsidRDefault="00380837">
      <w:pPr>
        <w:pStyle w:val="FootnoteText"/>
      </w:pPr>
      <w:r>
        <w:rPr>
          <w:rStyle w:val="FootnoteReference"/>
        </w:rPr>
        <w:footnoteRef/>
      </w:r>
      <w:r>
        <w:t xml:space="preserve"> </w:t>
      </w:r>
      <w:r w:rsidR="000F731B">
        <w:tab/>
      </w:r>
      <w:r>
        <w:t>Clause 52.06</w:t>
      </w:r>
    </w:p>
  </w:footnote>
  <w:footnote w:id="6">
    <w:p w:rsidR="000F731B" w:rsidRDefault="000F731B">
      <w:pPr>
        <w:pStyle w:val="FootnoteText"/>
      </w:pPr>
      <w:r>
        <w:rPr>
          <w:rStyle w:val="FootnoteReference"/>
        </w:rPr>
        <w:footnoteRef/>
      </w:r>
      <w:r>
        <w:t xml:space="preserve"> </w:t>
      </w:r>
      <w:r>
        <w:tab/>
        <w:t>Extract from drawing number TP04 prepared by Bello Design group dated 20 December 2018</w:t>
      </w:r>
    </w:p>
  </w:footnote>
  <w:footnote w:id="7">
    <w:p w:rsidR="00B1453F" w:rsidRDefault="00B1453F">
      <w:pPr>
        <w:pStyle w:val="FootnoteText"/>
      </w:pPr>
      <w:r>
        <w:rPr>
          <w:rStyle w:val="FootnoteReference"/>
        </w:rPr>
        <w:footnoteRef/>
      </w:r>
      <w:r>
        <w:t xml:space="preserve"> </w:t>
      </w:r>
      <w:r w:rsidR="000F731B">
        <w:tab/>
      </w:r>
      <w:r w:rsidRPr="00E250B7">
        <w:t xml:space="preserve">http://maps.au.nearmap.com/ </w:t>
      </w:r>
      <w:r w:rsidR="00E250B7" w:rsidRPr="00E250B7">
        <w:t>retrieved 12 November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D53"/>
    <w:multiLevelType w:val="multilevel"/>
    <w:tmpl w:val="88080164"/>
    <w:lvl w:ilvl="0">
      <w:start w:val="2"/>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565432"/>
    <w:multiLevelType w:val="hybridMultilevel"/>
    <w:tmpl w:val="729426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A250E87"/>
    <w:multiLevelType w:val="hybridMultilevel"/>
    <w:tmpl w:val="5450EE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D93151"/>
    <w:multiLevelType w:val="multilevel"/>
    <w:tmpl w:val="62165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11"/>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1"/>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0"/>
  </w:num>
  <w:num w:numId="20">
    <w:abstractNumId w:val="7"/>
  </w:num>
  <w:num w:numId="21">
    <w:abstractNumId w:val="12"/>
    <w:lvlOverride w:ilvl="0">
      <w:startOverride w:val="23"/>
    </w:lvlOverride>
  </w:num>
  <w:num w:numId="22">
    <w:abstractNumId w:val="12"/>
    <w:lvlOverride w:ilvl="0">
      <w:startOverride w:val="24"/>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VcULhrFjtDa2Wz7LwlY7wI0zf2Mw/p9axjBGJEq3/wJrX32OCu+C2xR6MOAHxN2oVy+XNG8J9Grq80Nui9oXWA==" w:salt="r+Rrphupvdsvk7QZIY/B4g=="/>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6202B2C-F15B-4847-9A9E-C3CE7BDC2578}"/>
    <w:docVar w:name="dgnword-eventsink" w:val="373430936"/>
    <w:docVar w:name="VCAT Seal" w:val="True"/>
  </w:docVars>
  <w:rsids>
    <w:rsidRoot w:val="000766E0"/>
    <w:rsid w:val="000003F2"/>
    <w:rsid w:val="0001113F"/>
    <w:rsid w:val="00027F01"/>
    <w:rsid w:val="00057004"/>
    <w:rsid w:val="00061FEB"/>
    <w:rsid w:val="00062780"/>
    <w:rsid w:val="00063C31"/>
    <w:rsid w:val="000766E0"/>
    <w:rsid w:val="000854CC"/>
    <w:rsid w:val="000879ED"/>
    <w:rsid w:val="000945F9"/>
    <w:rsid w:val="00094A20"/>
    <w:rsid w:val="000F4E28"/>
    <w:rsid w:val="000F731B"/>
    <w:rsid w:val="00124C1E"/>
    <w:rsid w:val="00152541"/>
    <w:rsid w:val="00155A7E"/>
    <w:rsid w:val="00156070"/>
    <w:rsid w:val="001567AE"/>
    <w:rsid w:val="00160659"/>
    <w:rsid w:val="0016093F"/>
    <w:rsid w:val="00163377"/>
    <w:rsid w:val="00166828"/>
    <w:rsid w:val="00167876"/>
    <w:rsid w:val="001708C4"/>
    <w:rsid w:val="0018330C"/>
    <w:rsid w:val="001B399E"/>
    <w:rsid w:val="001D63A4"/>
    <w:rsid w:val="001E1A40"/>
    <w:rsid w:val="001E49C7"/>
    <w:rsid w:val="001F2D3D"/>
    <w:rsid w:val="0023472F"/>
    <w:rsid w:val="002563BE"/>
    <w:rsid w:val="00275B01"/>
    <w:rsid w:val="0028144B"/>
    <w:rsid w:val="0028244B"/>
    <w:rsid w:val="00290F9B"/>
    <w:rsid w:val="00293A03"/>
    <w:rsid w:val="002A47E1"/>
    <w:rsid w:val="002A52E0"/>
    <w:rsid w:val="002B7051"/>
    <w:rsid w:val="002D05B6"/>
    <w:rsid w:val="002D67EB"/>
    <w:rsid w:val="002F27B5"/>
    <w:rsid w:val="00312D8A"/>
    <w:rsid w:val="0031301B"/>
    <w:rsid w:val="0032102D"/>
    <w:rsid w:val="00322661"/>
    <w:rsid w:val="0034213D"/>
    <w:rsid w:val="00361E5C"/>
    <w:rsid w:val="00361EF0"/>
    <w:rsid w:val="00365DA2"/>
    <w:rsid w:val="00380837"/>
    <w:rsid w:val="003813E9"/>
    <w:rsid w:val="003875F0"/>
    <w:rsid w:val="003B5E75"/>
    <w:rsid w:val="003D546E"/>
    <w:rsid w:val="003D7278"/>
    <w:rsid w:val="003E11C8"/>
    <w:rsid w:val="003E5FC0"/>
    <w:rsid w:val="00402799"/>
    <w:rsid w:val="00432DCD"/>
    <w:rsid w:val="00434BAA"/>
    <w:rsid w:val="00467B86"/>
    <w:rsid w:val="00477574"/>
    <w:rsid w:val="004908EE"/>
    <w:rsid w:val="004919B5"/>
    <w:rsid w:val="00495762"/>
    <w:rsid w:val="004959A5"/>
    <w:rsid w:val="004A201D"/>
    <w:rsid w:val="004B3605"/>
    <w:rsid w:val="004C3921"/>
    <w:rsid w:val="004D0391"/>
    <w:rsid w:val="004D0615"/>
    <w:rsid w:val="004D1D66"/>
    <w:rsid w:val="004D2122"/>
    <w:rsid w:val="004D3F0A"/>
    <w:rsid w:val="004E443A"/>
    <w:rsid w:val="004F1D7B"/>
    <w:rsid w:val="004F54C1"/>
    <w:rsid w:val="00507771"/>
    <w:rsid w:val="00510802"/>
    <w:rsid w:val="005178DF"/>
    <w:rsid w:val="00555296"/>
    <w:rsid w:val="00564B12"/>
    <w:rsid w:val="005742A7"/>
    <w:rsid w:val="0058084D"/>
    <w:rsid w:val="0059145F"/>
    <w:rsid w:val="005B3D5D"/>
    <w:rsid w:val="005D408F"/>
    <w:rsid w:val="005D6C47"/>
    <w:rsid w:val="005D77CE"/>
    <w:rsid w:val="005E1511"/>
    <w:rsid w:val="005E2D20"/>
    <w:rsid w:val="005E4824"/>
    <w:rsid w:val="005F6FDD"/>
    <w:rsid w:val="00604881"/>
    <w:rsid w:val="00610C70"/>
    <w:rsid w:val="00617E45"/>
    <w:rsid w:val="00647F43"/>
    <w:rsid w:val="0065338E"/>
    <w:rsid w:val="006768E6"/>
    <w:rsid w:val="00680AFF"/>
    <w:rsid w:val="00682C14"/>
    <w:rsid w:val="00684058"/>
    <w:rsid w:val="00697776"/>
    <w:rsid w:val="006C7549"/>
    <w:rsid w:val="006E7914"/>
    <w:rsid w:val="00705098"/>
    <w:rsid w:val="00726365"/>
    <w:rsid w:val="007270E3"/>
    <w:rsid w:val="007301D6"/>
    <w:rsid w:val="00745E58"/>
    <w:rsid w:val="00757068"/>
    <w:rsid w:val="00763504"/>
    <w:rsid w:val="00764EDD"/>
    <w:rsid w:val="00771935"/>
    <w:rsid w:val="00775AE9"/>
    <w:rsid w:val="00776999"/>
    <w:rsid w:val="00780572"/>
    <w:rsid w:val="0079593A"/>
    <w:rsid w:val="00796305"/>
    <w:rsid w:val="007D487A"/>
    <w:rsid w:val="007F601B"/>
    <w:rsid w:val="007F77A1"/>
    <w:rsid w:val="008128BB"/>
    <w:rsid w:val="00812BED"/>
    <w:rsid w:val="00812EEA"/>
    <w:rsid w:val="008265B7"/>
    <w:rsid w:val="00830459"/>
    <w:rsid w:val="00843EAF"/>
    <w:rsid w:val="0084488B"/>
    <w:rsid w:val="0084497D"/>
    <w:rsid w:val="00845EA1"/>
    <w:rsid w:val="008602F8"/>
    <w:rsid w:val="00894409"/>
    <w:rsid w:val="008A247D"/>
    <w:rsid w:val="008A46EC"/>
    <w:rsid w:val="008A5793"/>
    <w:rsid w:val="008B4936"/>
    <w:rsid w:val="008B7EB8"/>
    <w:rsid w:val="008C1674"/>
    <w:rsid w:val="00924205"/>
    <w:rsid w:val="00926A96"/>
    <w:rsid w:val="00932AF9"/>
    <w:rsid w:val="0094083D"/>
    <w:rsid w:val="0094148C"/>
    <w:rsid w:val="00956463"/>
    <w:rsid w:val="009804A9"/>
    <w:rsid w:val="0098460F"/>
    <w:rsid w:val="00993294"/>
    <w:rsid w:val="009C06C7"/>
    <w:rsid w:val="009D0685"/>
    <w:rsid w:val="009F658E"/>
    <w:rsid w:val="00A14092"/>
    <w:rsid w:val="00A150D3"/>
    <w:rsid w:val="00A30D6A"/>
    <w:rsid w:val="00A35800"/>
    <w:rsid w:val="00A41D6E"/>
    <w:rsid w:val="00A53783"/>
    <w:rsid w:val="00AA27A6"/>
    <w:rsid w:val="00AA587E"/>
    <w:rsid w:val="00AB29FA"/>
    <w:rsid w:val="00AD163D"/>
    <w:rsid w:val="00B01DC8"/>
    <w:rsid w:val="00B134F7"/>
    <w:rsid w:val="00B1453F"/>
    <w:rsid w:val="00B160AF"/>
    <w:rsid w:val="00B24B9B"/>
    <w:rsid w:val="00B25232"/>
    <w:rsid w:val="00B30FB4"/>
    <w:rsid w:val="00B355D6"/>
    <w:rsid w:val="00B36ACB"/>
    <w:rsid w:val="00B371E4"/>
    <w:rsid w:val="00B876A2"/>
    <w:rsid w:val="00BA1951"/>
    <w:rsid w:val="00BB7851"/>
    <w:rsid w:val="00BC219D"/>
    <w:rsid w:val="00BD53B1"/>
    <w:rsid w:val="00BD5D4C"/>
    <w:rsid w:val="00C07264"/>
    <w:rsid w:val="00C10388"/>
    <w:rsid w:val="00C1567D"/>
    <w:rsid w:val="00C26EBF"/>
    <w:rsid w:val="00C43EC2"/>
    <w:rsid w:val="00C7408F"/>
    <w:rsid w:val="00C963CC"/>
    <w:rsid w:val="00CA2144"/>
    <w:rsid w:val="00CA2642"/>
    <w:rsid w:val="00CA5891"/>
    <w:rsid w:val="00CC19B1"/>
    <w:rsid w:val="00CC60A6"/>
    <w:rsid w:val="00CC6FF1"/>
    <w:rsid w:val="00CD1F2A"/>
    <w:rsid w:val="00CE2838"/>
    <w:rsid w:val="00D03F21"/>
    <w:rsid w:val="00D13BA6"/>
    <w:rsid w:val="00D14A42"/>
    <w:rsid w:val="00D23389"/>
    <w:rsid w:val="00D24AFE"/>
    <w:rsid w:val="00D24B15"/>
    <w:rsid w:val="00D5549C"/>
    <w:rsid w:val="00D6081F"/>
    <w:rsid w:val="00D616BA"/>
    <w:rsid w:val="00D64ACC"/>
    <w:rsid w:val="00D64D3E"/>
    <w:rsid w:val="00DC7C16"/>
    <w:rsid w:val="00DD240D"/>
    <w:rsid w:val="00DE03F9"/>
    <w:rsid w:val="00E002C5"/>
    <w:rsid w:val="00E200CF"/>
    <w:rsid w:val="00E22A2C"/>
    <w:rsid w:val="00E250B7"/>
    <w:rsid w:val="00E27229"/>
    <w:rsid w:val="00E33760"/>
    <w:rsid w:val="00E62037"/>
    <w:rsid w:val="00E66B56"/>
    <w:rsid w:val="00E769D1"/>
    <w:rsid w:val="00E90789"/>
    <w:rsid w:val="00EA5010"/>
    <w:rsid w:val="00EA5975"/>
    <w:rsid w:val="00EB49E8"/>
    <w:rsid w:val="00ED4C48"/>
    <w:rsid w:val="00ED56ED"/>
    <w:rsid w:val="00EE5E8E"/>
    <w:rsid w:val="00EE6762"/>
    <w:rsid w:val="00F02A1F"/>
    <w:rsid w:val="00F338E1"/>
    <w:rsid w:val="00F347F8"/>
    <w:rsid w:val="00F46B51"/>
    <w:rsid w:val="00F55C68"/>
    <w:rsid w:val="00F60617"/>
    <w:rsid w:val="00F773CF"/>
    <w:rsid w:val="00F8098F"/>
    <w:rsid w:val="00F9058C"/>
    <w:rsid w:val="00F94FD0"/>
    <w:rsid w:val="00FB5535"/>
    <w:rsid w:val="00FC1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5C386A3-2E04-4786-BF68-B657FEB8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semiHidden/>
    <w:unhideWhenUsed/>
    <w:rsid w:val="00FB5535"/>
    <w:rPr>
      <w:color w:val="0000FF"/>
      <w:u w:val="single"/>
    </w:rPr>
  </w:style>
  <w:style w:type="paragraph" w:customStyle="1" w:styleId="Default">
    <w:name w:val="Default"/>
    <w:rsid w:val="00564B1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24211382">
      <w:bodyDiv w:val="1"/>
      <w:marLeft w:val="0"/>
      <w:marRight w:val="0"/>
      <w:marTop w:val="0"/>
      <w:marBottom w:val="0"/>
      <w:divBdr>
        <w:top w:val="none" w:sz="0" w:space="0" w:color="auto"/>
        <w:left w:val="none" w:sz="0" w:space="0" w:color="auto"/>
        <w:bottom w:val="none" w:sz="0" w:space="0" w:color="auto"/>
        <w:right w:val="none" w:sz="0" w:space="0" w:color="auto"/>
      </w:divBdr>
      <w:divsChild>
        <w:div w:id="1070006325">
          <w:marLeft w:val="0"/>
          <w:marRight w:val="0"/>
          <w:marTop w:val="0"/>
          <w:marBottom w:val="0"/>
          <w:divBdr>
            <w:top w:val="none" w:sz="0" w:space="0" w:color="auto"/>
            <w:left w:val="none" w:sz="0" w:space="0" w:color="auto"/>
            <w:bottom w:val="none" w:sz="0" w:space="0" w:color="auto"/>
            <w:right w:val="none" w:sz="0" w:space="0" w:color="auto"/>
          </w:divBdr>
          <w:divsChild>
            <w:div w:id="16490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2894</Words>
  <Characters>16500</Characters>
  <Application>Microsoft Office Word</Application>
  <DocSecurity>8</DocSecurity>
  <Lines>137</Lines>
  <Paragraphs>38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Alanna Williams</dc:creator>
  <cp:keywords/>
  <dc:description/>
  <cp:lastModifiedBy>Morsal Bashir</cp:lastModifiedBy>
  <cp:revision>2</cp:revision>
  <cp:lastPrinted>2019-11-12T03:50:00Z</cp:lastPrinted>
  <dcterms:created xsi:type="dcterms:W3CDTF">2019-11-13T00:45:00Z</dcterms:created>
  <dcterms:modified xsi:type="dcterms:W3CDTF">2019-11-13T00:45:00Z</dcterms:modified>
</cp:coreProperties>
</file>