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BA7EC3" w14:textId="68EEC3A1" w:rsidR="00A5019C" w:rsidRPr="00D660C2" w:rsidRDefault="00255204" w:rsidP="00A5019C">
      <w:pPr>
        <w:pStyle w:val="TitlePage1"/>
        <w:ind w:left="142"/>
      </w:pPr>
      <w:r>
        <w:rPr>
          <w:noProof/>
        </w:rPr>
        <w:drawing>
          <wp:anchor distT="0" distB="0" distL="114300" distR="114300" simplePos="0" relativeHeight="251660288" behindDoc="1" locked="0" layoutInCell="1" allowOverlap="1" wp14:anchorId="2AD3D779" wp14:editId="50B69BE3">
            <wp:simplePos x="0" y="0"/>
            <wp:positionH relativeFrom="column">
              <wp:posOffset>5183505</wp:posOffset>
            </wp:positionH>
            <wp:positionV relativeFrom="paragraph">
              <wp:posOffset>8459470</wp:posOffset>
            </wp:positionV>
            <wp:extent cx="1080000" cy="1080000"/>
            <wp:effectExtent l="0" t="0" r="6350" b="6350"/>
            <wp:wrapNone/>
            <wp:docPr id="4" name="VCAT Seal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A5019C" w:rsidRPr="00D660C2">
        <w:t>VICTORIAN CIVIL AND ADMINISTRATIVE TRIBUNAL</w:t>
      </w:r>
    </w:p>
    <w:p w14:paraId="039DE186" w14:textId="77777777" w:rsidR="00A5019C" w:rsidRPr="00D660C2" w:rsidRDefault="00A5019C" w:rsidP="00A5019C">
      <w:pPr>
        <w:pStyle w:val="TitlePage1"/>
        <w:ind w:left="142"/>
      </w:pPr>
      <w:r w:rsidRPr="00C460A7">
        <w:t>planning and environment</w:t>
      </w:r>
      <w:r w:rsidRPr="00D660C2">
        <w:t xml:space="preserve"> DIVISION</w:t>
      </w:r>
    </w:p>
    <w:tbl>
      <w:tblPr>
        <w:tblW w:w="5083" w:type="pct"/>
        <w:tblInd w:w="-142" w:type="dxa"/>
        <w:tblLook w:val="0000" w:firstRow="0" w:lastRow="0" w:firstColumn="0" w:lastColumn="0" w:noHBand="0" w:noVBand="0"/>
      </w:tblPr>
      <w:tblGrid>
        <w:gridCol w:w="142"/>
        <w:gridCol w:w="4494"/>
        <w:gridCol w:w="4010"/>
      </w:tblGrid>
      <w:tr w:rsidR="00A5019C" w:rsidRPr="00D660C2" w14:paraId="648FCC7F" w14:textId="77777777" w:rsidTr="00A5019C">
        <w:trPr>
          <w:gridBefore w:val="1"/>
          <w:wBefore w:w="82" w:type="pct"/>
          <w:cantSplit/>
        </w:trPr>
        <w:tc>
          <w:tcPr>
            <w:tcW w:w="2599" w:type="pct"/>
          </w:tcPr>
          <w:p w14:paraId="5AE18DB2" w14:textId="77777777" w:rsidR="00A5019C" w:rsidRPr="00D660C2" w:rsidRDefault="00A5019C" w:rsidP="00DC2ADF">
            <w:pPr>
              <w:pStyle w:val="TitlePage2"/>
            </w:pPr>
            <w:r w:rsidRPr="00D660C2">
              <w:t>planning and environment LIST</w:t>
            </w:r>
          </w:p>
        </w:tc>
        <w:tc>
          <w:tcPr>
            <w:tcW w:w="2319" w:type="pct"/>
          </w:tcPr>
          <w:p w14:paraId="3FD39009" w14:textId="77777777" w:rsidR="00A5019C" w:rsidRDefault="00A5019C" w:rsidP="00A5019C">
            <w:pPr>
              <w:pStyle w:val="TitlePage3"/>
              <w:rPr>
                <w:noProof/>
              </w:rPr>
            </w:pPr>
            <w:r w:rsidRPr="00D660C2">
              <w:t xml:space="preserve">vcat reference No.  </w:t>
            </w:r>
            <w:r w:rsidRPr="00C52350">
              <w:rPr>
                <w:noProof/>
              </w:rPr>
              <w:t>P2307/2019</w:t>
            </w:r>
          </w:p>
          <w:p w14:paraId="6C67C8D0" w14:textId="40DF87F0" w:rsidR="009B7246" w:rsidRPr="00D660C2" w:rsidRDefault="009B7246" w:rsidP="00A5019C">
            <w:pPr>
              <w:pStyle w:val="TitlePage3"/>
            </w:pPr>
            <w:r>
              <w:rPr>
                <w:noProof/>
              </w:rPr>
              <w:t xml:space="preserve">PERMIT APPLICATION NO. </w:t>
            </w:r>
            <w:r>
              <w:t>TPA/50167</w:t>
            </w:r>
          </w:p>
        </w:tc>
      </w:tr>
      <w:tr w:rsidR="00A5019C" w:rsidRPr="00D660C2" w14:paraId="24E7EF5E" w14:textId="77777777" w:rsidTr="00A5019C">
        <w:trPr>
          <w:gridBefore w:val="1"/>
          <w:wBefore w:w="82" w:type="pct"/>
          <w:cantSplit/>
        </w:trPr>
        <w:tc>
          <w:tcPr>
            <w:tcW w:w="2599" w:type="pct"/>
          </w:tcPr>
          <w:p w14:paraId="3E08C9A3" w14:textId="77777777" w:rsidR="00A5019C" w:rsidRPr="00D660C2" w:rsidRDefault="00A5019C" w:rsidP="00A5019C">
            <w:pPr>
              <w:pStyle w:val="TitlePage2"/>
            </w:pPr>
          </w:p>
        </w:tc>
        <w:tc>
          <w:tcPr>
            <w:tcW w:w="2319" w:type="pct"/>
          </w:tcPr>
          <w:p w14:paraId="722C3486" w14:textId="77777777" w:rsidR="00A5019C" w:rsidRPr="00D660C2" w:rsidRDefault="00A5019C" w:rsidP="00A5019C">
            <w:pPr>
              <w:pStyle w:val="TitlePage3"/>
            </w:pPr>
          </w:p>
        </w:tc>
      </w:tr>
      <w:tr w:rsidR="00A5019C" w:rsidRPr="008967AE" w14:paraId="78654834" w14:textId="77777777" w:rsidTr="00A5019C">
        <w:tblPrEx>
          <w:jc w:val="center"/>
          <w:tblInd w:w="0" w:type="dxa"/>
        </w:tblPrEx>
        <w:trPr>
          <w:cantSplit/>
          <w:jc w:val="center"/>
        </w:trPr>
        <w:tc>
          <w:tcPr>
            <w:tcW w:w="4999" w:type="pct"/>
            <w:gridSpan w:val="3"/>
          </w:tcPr>
          <w:p w14:paraId="70D6B832" w14:textId="77777777" w:rsidR="00A5019C" w:rsidRPr="008967AE" w:rsidRDefault="00A5019C" w:rsidP="00DC2ADF">
            <w:pPr>
              <w:pStyle w:val="TitlePage2"/>
              <w:spacing w:before="0"/>
              <w:jc w:val="center"/>
              <w:rPr>
                <w:sz w:val="20"/>
                <w:szCs w:val="20"/>
              </w:rPr>
            </w:pPr>
            <w:r w:rsidRPr="008967AE">
              <w:rPr>
                <w:sz w:val="20"/>
                <w:szCs w:val="20"/>
              </w:rPr>
              <w:t>CATCHWORDS</w:t>
            </w:r>
          </w:p>
        </w:tc>
      </w:tr>
      <w:tr w:rsidR="00A5019C" w14:paraId="0A54552A" w14:textId="77777777" w:rsidTr="00A5019C">
        <w:tblPrEx>
          <w:jc w:val="center"/>
          <w:tblInd w:w="0" w:type="dxa"/>
        </w:tblPrEx>
        <w:trPr>
          <w:cantSplit/>
          <w:jc w:val="center"/>
        </w:trPr>
        <w:tc>
          <w:tcPr>
            <w:tcW w:w="4999" w:type="pct"/>
            <w:gridSpan w:val="3"/>
          </w:tcPr>
          <w:p w14:paraId="608FDE69" w14:textId="64EB2744" w:rsidR="00A5019C" w:rsidRDefault="00A5019C" w:rsidP="00DC2ADF">
            <w:pPr>
              <w:pStyle w:val="Catchwords"/>
              <w:ind w:right="-102"/>
              <w:jc w:val="center"/>
            </w:pPr>
            <w:r w:rsidRPr="00FA2B29">
              <w:t>Section</w:t>
            </w:r>
            <w:r>
              <w:t xml:space="preserve"> 77</w:t>
            </w:r>
            <w:r w:rsidRPr="00FA2B29">
              <w:t xml:space="preserve"> of the </w:t>
            </w:r>
            <w:r w:rsidRPr="00FA2B29">
              <w:rPr>
                <w:i/>
              </w:rPr>
              <w:t>Planning and Environment Act 1987;</w:t>
            </w:r>
            <w:r w:rsidRPr="00FA2B29">
              <w:t xml:space="preserve"> </w:t>
            </w:r>
            <w:r>
              <w:t>Monash</w:t>
            </w:r>
            <w:r w:rsidRPr="00FA2B29">
              <w:t xml:space="preserve"> Planning Scheme; </w:t>
            </w:r>
            <w:r>
              <w:t>Two Storey Townhouses; Four Dwellings; Residential Growth Zone – Schedule 3; Clayton Major Activity Centre and Monash National Employment and Innovation Cluster</w:t>
            </w:r>
            <w:r w:rsidRPr="00FA2B29">
              <w:t>.</w:t>
            </w:r>
          </w:p>
        </w:tc>
      </w:tr>
    </w:tbl>
    <w:p w14:paraId="7BA50491" w14:textId="77777777" w:rsidR="00A5019C" w:rsidRPr="00D660C2" w:rsidRDefault="00A5019C" w:rsidP="00A5019C"/>
    <w:tbl>
      <w:tblPr>
        <w:tblW w:w="5000" w:type="pct"/>
        <w:tblLook w:val="0000" w:firstRow="0" w:lastRow="0" w:firstColumn="0" w:lastColumn="0" w:noHBand="0" w:noVBand="0"/>
      </w:tblPr>
      <w:tblGrid>
        <w:gridCol w:w="3441"/>
        <w:gridCol w:w="5064"/>
      </w:tblGrid>
      <w:tr w:rsidR="00A5019C" w:rsidRPr="00D660C2" w14:paraId="5620D311" w14:textId="77777777" w:rsidTr="00DC2ADF">
        <w:tc>
          <w:tcPr>
            <w:tcW w:w="2023" w:type="pct"/>
          </w:tcPr>
          <w:p w14:paraId="04AD261E" w14:textId="77777777" w:rsidR="00A5019C" w:rsidRPr="00D660C2" w:rsidRDefault="00A5019C" w:rsidP="00DC2ADF">
            <w:pPr>
              <w:pStyle w:val="TitlePage2"/>
            </w:pPr>
            <w:r w:rsidRPr="00D660C2">
              <w:t>APPLICANT</w:t>
            </w:r>
          </w:p>
        </w:tc>
        <w:tc>
          <w:tcPr>
            <w:tcW w:w="2977" w:type="pct"/>
          </w:tcPr>
          <w:p w14:paraId="019BEEB2" w14:textId="77777777" w:rsidR="00A5019C" w:rsidRPr="00D660C2" w:rsidRDefault="00A5019C" w:rsidP="00DC2ADF">
            <w:pPr>
              <w:pStyle w:val="TitlePagetext"/>
            </w:pPr>
            <w:r w:rsidRPr="00C52350">
              <w:rPr>
                <w:noProof/>
              </w:rPr>
              <w:t>Aldo Di Nicolantonio</w:t>
            </w:r>
          </w:p>
        </w:tc>
      </w:tr>
      <w:tr w:rsidR="00A5019C" w:rsidRPr="00D660C2" w14:paraId="56487E34" w14:textId="77777777" w:rsidTr="00DC2ADF">
        <w:tc>
          <w:tcPr>
            <w:tcW w:w="2023" w:type="pct"/>
          </w:tcPr>
          <w:p w14:paraId="444E1A0E" w14:textId="77777777" w:rsidR="00A5019C" w:rsidRPr="00D660C2" w:rsidRDefault="00A5019C" w:rsidP="00DC2ADF">
            <w:pPr>
              <w:pStyle w:val="TitlePage2"/>
            </w:pPr>
            <w:r w:rsidRPr="00D660C2">
              <w:t>responsible authority</w:t>
            </w:r>
          </w:p>
        </w:tc>
        <w:tc>
          <w:tcPr>
            <w:tcW w:w="2977" w:type="pct"/>
          </w:tcPr>
          <w:p w14:paraId="034A5917" w14:textId="77777777" w:rsidR="00A5019C" w:rsidRPr="00D660C2" w:rsidRDefault="00A5019C" w:rsidP="00DC2ADF">
            <w:pPr>
              <w:pStyle w:val="TitlePagetext"/>
            </w:pPr>
            <w:r w:rsidRPr="00C52350">
              <w:rPr>
                <w:noProof/>
              </w:rPr>
              <w:t>Monash City Council</w:t>
            </w:r>
          </w:p>
        </w:tc>
      </w:tr>
      <w:tr w:rsidR="00A5019C" w:rsidRPr="00D660C2" w14:paraId="76F99B2E" w14:textId="77777777" w:rsidTr="00DC2ADF">
        <w:tc>
          <w:tcPr>
            <w:tcW w:w="2023" w:type="pct"/>
          </w:tcPr>
          <w:p w14:paraId="361E693C" w14:textId="77777777" w:rsidR="00A5019C" w:rsidRPr="00D660C2" w:rsidRDefault="00A5019C" w:rsidP="00DC2ADF">
            <w:pPr>
              <w:pStyle w:val="TitlePage2"/>
            </w:pPr>
            <w:r w:rsidRPr="00D660C2">
              <w:t>SUBJECT LAND</w:t>
            </w:r>
          </w:p>
        </w:tc>
        <w:tc>
          <w:tcPr>
            <w:tcW w:w="2977" w:type="pct"/>
          </w:tcPr>
          <w:p w14:paraId="47B7F332" w14:textId="77777777" w:rsidR="00A5019C" w:rsidRPr="00D660C2" w:rsidRDefault="00A5019C" w:rsidP="00DC2ADF">
            <w:pPr>
              <w:pStyle w:val="TitlePagetext"/>
            </w:pPr>
            <w:r w:rsidRPr="00C52350">
              <w:rPr>
                <w:noProof/>
              </w:rPr>
              <w:t>113 Kanooka Grove</w:t>
            </w:r>
            <w:r>
              <w:rPr>
                <w:noProof/>
              </w:rPr>
              <w:br/>
            </w:r>
            <w:r w:rsidRPr="00C52350">
              <w:rPr>
                <w:noProof/>
              </w:rPr>
              <w:t>CLAYTON  VIC  3168</w:t>
            </w:r>
          </w:p>
        </w:tc>
      </w:tr>
      <w:tr w:rsidR="00F75913" w:rsidRPr="00D660C2" w14:paraId="52AFE427" w14:textId="77777777" w:rsidTr="00FC78BD">
        <w:tc>
          <w:tcPr>
            <w:tcW w:w="2023" w:type="pct"/>
          </w:tcPr>
          <w:p w14:paraId="16659F22" w14:textId="77777777" w:rsidR="00F75913" w:rsidRPr="00D660C2" w:rsidRDefault="00F75913" w:rsidP="00FC78BD">
            <w:pPr>
              <w:pStyle w:val="TitlePage2"/>
            </w:pPr>
            <w:r w:rsidRPr="00D660C2">
              <w:t>WHERE HELD</w:t>
            </w:r>
          </w:p>
        </w:tc>
        <w:tc>
          <w:tcPr>
            <w:tcW w:w="2977" w:type="pct"/>
          </w:tcPr>
          <w:p w14:paraId="539693C6" w14:textId="77777777" w:rsidR="00F75913" w:rsidRPr="00D660C2" w:rsidRDefault="00F75913" w:rsidP="00FC78BD">
            <w:pPr>
              <w:pStyle w:val="TitlePagetext"/>
            </w:pPr>
            <w:smartTag w:uri="urn:schemas-microsoft-com:office:smarttags" w:element="place">
              <w:smartTag w:uri="urn:schemas-microsoft-com:office:smarttags" w:element="City">
                <w:r w:rsidRPr="00D660C2">
                  <w:t>Melbourne</w:t>
                </w:r>
              </w:smartTag>
            </w:smartTag>
          </w:p>
        </w:tc>
      </w:tr>
      <w:tr w:rsidR="00DC1FE6" w:rsidRPr="00D660C2" w14:paraId="3CFA3EE5" w14:textId="77777777" w:rsidTr="00FC78BD">
        <w:tc>
          <w:tcPr>
            <w:tcW w:w="2023" w:type="pct"/>
          </w:tcPr>
          <w:p w14:paraId="5F79228B" w14:textId="77777777" w:rsidR="00DC1FE6" w:rsidRPr="00D660C2" w:rsidRDefault="00DC1FE6" w:rsidP="00FC78BD">
            <w:pPr>
              <w:pStyle w:val="TitlePage2"/>
            </w:pPr>
            <w:bookmarkStart w:id="0" w:name="DELitmo"/>
            <w:bookmarkStart w:id="1" w:name="DELcar"/>
            <w:bookmarkStart w:id="2" w:name="DELrespondents2"/>
            <w:bookmarkStart w:id="3" w:name="DELsubjectland"/>
            <w:r w:rsidRPr="00D660C2">
              <w:t>BEFORE</w:t>
            </w:r>
          </w:p>
        </w:tc>
        <w:tc>
          <w:tcPr>
            <w:tcW w:w="2977" w:type="pct"/>
          </w:tcPr>
          <w:p w14:paraId="452F270F" w14:textId="77777777" w:rsidR="00DC1FE6" w:rsidRPr="00D660C2" w:rsidRDefault="00DC1FE6" w:rsidP="00FC78BD">
            <w:pPr>
              <w:pStyle w:val="TitlePagetext"/>
            </w:pPr>
            <w:bookmarkStart w:id="4" w:name="Before"/>
            <w:bookmarkEnd w:id="4"/>
            <w:r>
              <w:t>Margaret Baird</w:t>
            </w:r>
            <w:r w:rsidRPr="00D660C2">
              <w:t xml:space="preserve">, </w:t>
            </w:r>
            <w:r>
              <w:t xml:space="preserve">Senior </w:t>
            </w:r>
            <w:r w:rsidRPr="00D660C2">
              <w:t>Member</w:t>
            </w:r>
          </w:p>
        </w:tc>
      </w:tr>
      <w:tr w:rsidR="00DC1FE6" w:rsidRPr="00D660C2" w14:paraId="4E33459A" w14:textId="77777777" w:rsidTr="00FC78BD">
        <w:tc>
          <w:tcPr>
            <w:tcW w:w="2023" w:type="pct"/>
          </w:tcPr>
          <w:p w14:paraId="59C9DB18" w14:textId="2AC2DD20" w:rsidR="00DC1FE6" w:rsidRPr="00D660C2" w:rsidRDefault="00DC1FE6" w:rsidP="00FC78BD">
            <w:pPr>
              <w:pStyle w:val="TitlePage2"/>
            </w:pPr>
            <w:r w:rsidRPr="00D660C2">
              <w:t>HEARING TYPE</w:t>
            </w:r>
          </w:p>
        </w:tc>
        <w:tc>
          <w:tcPr>
            <w:tcW w:w="2977" w:type="pct"/>
          </w:tcPr>
          <w:p w14:paraId="2FE70EE5" w14:textId="724E420F" w:rsidR="00DC1FE6" w:rsidRPr="00D660C2" w:rsidRDefault="00DC1FE6" w:rsidP="00FC78BD">
            <w:pPr>
              <w:pStyle w:val="TitlePagetext"/>
            </w:pPr>
            <w:r>
              <w:t>Hearing</w:t>
            </w:r>
          </w:p>
        </w:tc>
      </w:tr>
      <w:tr w:rsidR="00DC1FE6" w:rsidRPr="00D660C2" w14:paraId="745890B8" w14:textId="77777777" w:rsidTr="00FC78BD">
        <w:tc>
          <w:tcPr>
            <w:tcW w:w="2023" w:type="pct"/>
          </w:tcPr>
          <w:p w14:paraId="516DA7B8" w14:textId="6BFD37C6" w:rsidR="00DC1FE6" w:rsidRPr="00D660C2" w:rsidRDefault="00DC1FE6" w:rsidP="00FC78BD">
            <w:pPr>
              <w:pStyle w:val="TitlePage2"/>
            </w:pPr>
            <w:bookmarkStart w:id="5" w:name="INSresponsibleAuthority"/>
            <w:bookmarkEnd w:id="0"/>
            <w:bookmarkEnd w:id="1"/>
            <w:bookmarkEnd w:id="2"/>
            <w:bookmarkEnd w:id="3"/>
            <w:bookmarkEnd w:id="5"/>
            <w:r>
              <w:t>date of hearing</w:t>
            </w:r>
          </w:p>
        </w:tc>
        <w:tc>
          <w:tcPr>
            <w:tcW w:w="2977" w:type="pct"/>
          </w:tcPr>
          <w:p w14:paraId="76C8119C" w14:textId="27A24A26" w:rsidR="00DC1FE6" w:rsidRPr="00D660C2" w:rsidRDefault="00A5019C" w:rsidP="00FC78BD">
            <w:pPr>
              <w:pStyle w:val="TitlePagetext"/>
            </w:pPr>
            <w:bookmarkStart w:id="6" w:name="Location"/>
            <w:bookmarkEnd w:id="6"/>
            <w:r>
              <w:t>19 June</w:t>
            </w:r>
            <w:r w:rsidR="00DC1FE6">
              <w:t xml:space="preserve"> 2020</w:t>
            </w:r>
          </w:p>
        </w:tc>
      </w:tr>
      <w:tr w:rsidR="00DC1FE6" w:rsidRPr="000B3F6F" w14:paraId="453A8344" w14:textId="77777777" w:rsidTr="00FC78BD">
        <w:tc>
          <w:tcPr>
            <w:tcW w:w="2023" w:type="pct"/>
          </w:tcPr>
          <w:p w14:paraId="5727F4B0" w14:textId="77777777" w:rsidR="00DC1FE6" w:rsidRPr="00D660C2" w:rsidRDefault="00DC1FE6" w:rsidP="00FC78BD">
            <w:pPr>
              <w:pStyle w:val="TitlePage2"/>
            </w:pPr>
            <w:r w:rsidRPr="00D660C2">
              <w:t>DATE OF ORDER</w:t>
            </w:r>
          </w:p>
        </w:tc>
        <w:tc>
          <w:tcPr>
            <w:tcW w:w="2977" w:type="pct"/>
          </w:tcPr>
          <w:p w14:paraId="32E2E366" w14:textId="23D3D994" w:rsidR="00DC1FE6" w:rsidRPr="00084C68" w:rsidRDefault="00843C3D" w:rsidP="00FC78BD">
            <w:pPr>
              <w:pStyle w:val="TitlePagetext"/>
            </w:pPr>
            <w:bookmarkStart w:id="7" w:name="DateOrder"/>
            <w:bookmarkEnd w:id="7"/>
            <w:r>
              <w:t>29</w:t>
            </w:r>
            <w:r w:rsidR="00091B51" w:rsidRPr="00084C68">
              <w:t xml:space="preserve"> June</w:t>
            </w:r>
            <w:r w:rsidR="00DC1FE6" w:rsidRPr="00084C68">
              <w:t xml:space="preserve"> 2020</w:t>
            </w:r>
          </w:p>
        </w:tc>
      </w:tr>
      <w:tr w:rsidR="000B3F6F" w:rsidRPr="000B3F6F" w14:paraId="42255AD4" w14:textId="77777777" w:rsidTr="00FC78BD">
        <w:tc>
          <w:tcPr>
            <w:tcW w:w="2023" w:type="pct"/>
          </w:tcPr>
          <w:p w14:paraId="71648BDC" w14:textId="0588DB45" w:rsidR="000B3F6F" w:rsidRPr="00D660C2" w:rsidRDefault="000B3F6F" w:rsidP="00FC78BD">
            <w:pPr>
              <w:pStyle w:val="TitlePage2"/>
            </w:pPr>
            <w:r>
              <w:t>CITATION</w:t>
            </w:r>
          </w:p>
        </w:tc>
        <w:tc>
          <w:tcPr>
            <w:tcW w:w="2977" w:type="pct"/>
          </w:tcPr>
          <w:p w14:paraId="3956631E" w14:textId="2F768095" w:rsidR="000B3F6F" w:rsidRPr="00084C68" w:rsidRDefault="00A5019C" w:rsidP="00FC78BD">
            <w:pPr>
              <w:pStyle w:val="TitlePagetext"/>
            </w:pPr>
            <w:r w:rsidRPr="00084C68">
              <w:rPr>
                <w:noProof/>
              </w:rPr>
              <w:t>Di Nicolantonio</w:t>
            </w:r>
            <w:r w:rsidRPr="00084C68">
              <w:t xml:space="preserve"> </w:t>
            </w:r>
            <w:r w:rsidR="00FF3C19" w:rsidRPr="00084C68">
              <w:t>v</w:t>
            </w:r>
            <w:r w:rsidR="000B3F6F" w:rsidRPr="00084C68">
              <w:t xml:space="preserve"> </w:t>
            </w:r>
            <w:r w:rsidR="00F75913" w:rsidRPr="00084C68">
              <w:t>Monash</w:t>
            </w:r>
            <w:r w:rsidR="000B3F6F" w:rsidRPr="00084C68">
              <w:t xml:space="preserve"> CC [2020] VCAT </w:t>
            </w:r>
            <w:r w:rsidR="00084C68" w:rsidRPr="00084C68">
              <w:t>700</w:t>
            </w:r>
          </w:p>
        </w:tc>
      </w:tr>
    </w:tbl>
    <w:p w14:paraId="70CA9EEB" w14:textId="77777777" w:rsidR="00DC1FE6" w:rsidRPr="00D660C2" w:rsidRDefault="00DC1FE6" w:rsidP="00DC1FE6"/>
    <w:p w14:paraId="283F87B2" w14:textId="77777777" w:rsidR="00DC1FE6" w:rsidRDefault="00DC1FE6" w:rsidP="00DC1FE6">
      <w:pPr>
        <w:pStyle w:val="Heading1"/>
        <w:spacing w:before="0" w:after="0"/>
      </w:pPr>
      <w:r>
        <w:t>Order</w:t>
      </w:r>
    </w:p>
    <w:p w14:paraId="5E87BE66" w14:textId="00A53CD7" w:rsidR="001E7ECE" w:rsidRPr="009F4C45" w:rsidRDefault="004A1FDE" w:rsidP="001E7ECE">
      <w:pPr>
        <w:pStyle w:val="Heading3"/>
      </w:pPr>
      <w:r w:rsidRPr="009F4C45">
        <w:t>No</w:t>
      </w:r>
      <w:r w:rsidR="001E7ECE" w:rsidRPr="009F4C45">
        <w:t xml:space="preserve"> permit granted</w:t>
      </w:r>
    </w:p>
    <w:p w14:paraId="18A02D3E" w14:textId="656C071F" w:rsidR="001E7ECE" w:rsidRPr="009F4C45" w:rsidRDefault="001E7ECE" w:rsidP="003530E5">
      <w:pPr>
        <w:pStyle w:val="Order2"/>
        <w:numPr>
          <w:ilvl w:val="0"/>
          <w:numId w:val="6"/>
        </w:numPr>
      </w:pPr>
      <w:r w:rsidRPr="009F4C45">
        <w:rPr>
          <w:color w:val="000000"/>
        </w:rPr>
        <w:t xml:space="preserve">In application </w:t>
      </w:r>
      <w:r w:rsidR="00A5019C" w:rsidRPr="009F4C45">
        <w:rPr>
          <w:color w:val="000000"/>
        </w:rPr>
        <w:t>P2307</w:t>
      </w:r>
      <w:r w:rsidRPr="009F4C45">
        <w:rPr>
          <w:color w:val="000000"/>
        </w:rPr>
        <w:t>/2019, the decision of the responsible authority is affirmed</w:t>
      </w:r>
      <w:r w:rsidRPr="009F4C45">
        <w:t>.</w:t>
      </w:r>
    </w:p>
    <w:p w14:paraId="53F4635D" w14:textId="71766486" w:rsidR="001E7ECE" w:rsidRPr="009F4C45" w:rsidRDefault="001E7ECE" w:rsidP="003530E5">
      <w:pPr>
        <w:pStyle w:val="Order2"/>
        <w:numPr>
          <w:ilvl w:val="0"/>
          <w:numId w:val="6"/>
        </w:numPr>
      </w:pPr>
      <w:r w:rsidRPr="009F4C45">
        <w:t xml:space="preserve">In permit application no. </w:t>
      </w:r>
      <w:r w:rsidR="009B7246" w:rsidRPr="009F4C45">
        <w:t>TPA/50167</w:t>
      </w:r>
      <w:r w:rsidRPr="009F4C45">
        <w:t>, no permit is granted.</w:t>
      </w:r>
    </w:p>
    <w:p w14:paraId="2E358742" w14:textId="5692C97D" w:rsidR="00B67920" w:rsidRDefault="00B67920" w:rsidP="00714E42"/>
    <w:p w14:paraId="3B4EEA02" w14:textId="77777777" w:rsidR="000B3F6F" w:rsidRDefault="000B3F6F" w:rsidP="00714E42"/>
    <w:tbl>
      <w:tblPr>
        <w:tblW w:w="8721" w:type="dxa"/>
        <w:tblLayout w:type="fixed"/>
        <w:tblLook w:val="0000" w:firstRow="0" w:lastRow="0" w:firstColumn="0" w:lastColumn="0" w:noHBand="0" w:noVBand="0"/>
      </w:tblPr>
      <w:tblGrid>
        <w:gridCol w:w="2988"/>
        <w:gridCol w:w="2827"/>
        <w:gridCol w:w="2906"/>
      </w:tblGrid>
      <w:tr w:rsidR="00714E42" w:rsidRPr="00007380" w14:paraId="16DA0170" w14:textId="77777777" w:rsidTr="00FF3C19">
        <w:tc>
          <w:tcPr>
            <w:tcW w:w="2988" w:type="dxa"/>
          </w:tcPr>
          <w:p w14:paraId="071824EE" w14:textId="77777777" w:rsidR="00714E42" w:rsidRPr="00007380" w:rsidRDefault="00714E42" w:rsidP="00FC78BD">
            <w:pPr>
              <w:rPr>
                <w:b/>
              </w:rPr>
            </w:pPr>
            <w:r w:rsidRPr="00007380">
              <w:rPr>
                <w:b/>
              </w:rPr>
              <w:t>Margaret Baird</w:t>
            </w:r>
          </w:p>
          <w:p w14:paraId="444D7083" w14:textId="77777777" w:rsidR="00714E42" w:rsidRPr="00007380" w:rsidRDefault="00714E42" w:rsidP="00FC78BD">
            <w:pPr>
              <w:tabs>
                <w:tab w:val="left" w:pos="1515"/>
              </w:tabs>
              <w:rPr>
                <w:b/>
              </w:rPr>
            </w:pPr>
            <w:r w:rsidRPr="00007380">
              <w:rPr>
                <w:b/>
              </w:rPr>
              <w:t>Senior Member</w:t>
            </w:r>
          </w:p>
        </w:tc>
        <w:tc>
          <w:tcPr>
            <w:tcW w:w="2827" w:type="dxa"/>
          </w:tcPr>
          <w:p w14:paraId="69E23850" w14:textId="77777777" w:rsidR="00714E42" w:rsidRPr="00007380" w:rsidRDefault="00714E42" w:rsidP="00FC78BD">
            <w:pPr>
              <w:rPr>
                <w:b/>
              </w:rPr>
            </w:pPr>
          </w:p>
        </w:tc>
        <w:tc>
          <w:tcPr>
            <w:tcW w:w="2906" w:type="dxa"/>
          </w:tcPr>
          <w:p w14:paraId="26975664" w14:textId="77777777" w:rsidR="00714E42" w:rsidRPr="00007380" w:rsidRDefault="00714E42" w:rsidP="00FC78BD">
            <w:pPr>
              <w:rPr>
                <w:b/>
              </w:rPr>
            </w:pPr>
          </w:p>
        </w:tc>
      </w:tr>
    </w:tbl>
    <w:p w14:paraId="70831CCE" w14:textId="3BEF3695" w:rsidR="00FF3C19" w:rsidRDefault="00FF3C19" w:rsidP="004F6E65">
      <w:pPr>
        <w:pStyle w:val="Heading1"/>
        <w:spacing w:before="360"/>
        <w:ind w:right="-284"/>
      </w:pPr>
      <w:r>
        <w:t>APPEARANCES</w:t>
      </w:r>
    </w:p>
    <w:tbl>
      <w:tblPr>
        <w:tblW w:w="5167" w:type="pct"/>
        <w:tblLook w:val="04A0" w:firstRow="1" w:lastRow="0" w:firstColumn="1" w:lastColumn="0" w:noHBand="0" w:noVBand="1"/>
      </w:tblPr>
      <w:tblGrid>
        <w:gridCol w:w="2695"/>
        <w:gridCol w:w="6094"/>
      </w:tblGrid>
      <w:tr w:rsidR="00FF3C19" w:rsidRPr="00DB5731" w14:paraId="13C3CA84" w14:textId="77777777" w:rsidTr="004F6E65">
        <w:trPr>
          <w:cantSplit/>
        </w:trPr>
        <w:tc>
          <w:tcPr>
            <w:tcW w:w="1533" w:type="pct"/>
            <w:hideMark/>
          </w:tcPr>
          <w:p w14:paraId="70F4ED97" w14:textId="46B0A6CD" w:rsidR="00FF3C19" w:rsidRPr="00DB5731" w:rsidRDefault="00FF3C19">
            <w:pPr>
              <w:pStyle w:val="TitlePagetext"/>
            </w:pPr>
            <w:r w:rsidRPr="00DB5731">
              <w:t>For applicant</w:t>
            </w:r>
          </w:p>
        </w:tc>
        <w:tc>
          <w:tcPr>
            <w:tcW w:w="3467" w:type="pct"/>
            <w:hideMark/>
          </w:tcPr>
          <w:p w14:paraId="7F4BA347" w14:textId="05B56BFC" w:rsidR="00FF3C19" w:rsidRPr="00DB5731" w:rsidRDefault="00FF3C19">
            <w:pPr>
              <w:pStyle w:val="TitlePagetext"/>
            </w:pPr>
            <w:r w:rsidRPr="00DB5731">
              <w:t xml:space="preserve">Mr </w:t>
            </w:r>
            <w:r w:rsidR="00DB5731" w:rsidRPr="00DB5731">
              <w:t>R Hocking, City Shire Planning Pty Ltd</w:t>
            </w:r>
            <w:r w:rsidRPr="00DB5731">
              <w:t xml:space="preserve">. </w:t>
            </w:r>
          </w:p>
        </w:tc>
      </w:tr>
      <w:tr w:rsidR="00FF3C19" w:rsidRPr="00DB5731" w14:paraId="48F637DD" w14:textId="77777777" w:rsidTr="004F6E65">
        <w:trPr>
          <w:cantSplit/>
        </w:trPr>
        <w:tc>
          <w:tcPr>
            <w:tcW w:w="1533" w:type="pct"/>
            <w:hideMark/>
          </w:tcPr>
          <w:p w14:paraId="593CD6D5" w14:textId="658A5D82" w:rsidR="00FF3C19" w:rsidRPr="00DB5731" w:rsidRDefault="00FF3C19">
            <w:pPr>
              <w:pStyle w:val="TitlePagetext"/>
            </w:pPr>
            <w:r w:rsidRPr="00DB5731">
              <w:t xml:space="preserve">For </w:t>
            </w:r>
            <w:r w:rsidR="00DB5731" w:rsidRPr="00DB5731">
              <w:rPr>
                <w:color w:val="000000"/>
              </w:rPr>
              <w:t>responsible authority</w:t>
            </w:r>
          </w:p>
        </w:tc>
        <w:tc>
          <w:tcPr>
            <w:tcW w:w="3467" w:type="pct"/>
            <w:hideMark/>
          </w:tcPr>
          <w:p w14:paraId="0E0AA204" w14:textId="29390486" w:rsidR="00FF3C19" w:rsidRPr="00DB5731" w:rsidRDefault="00A5019C">
            <w:pPr>
              <w:pStyle w:val="TitlePagetext"/>
            </w:pPr>
            <w:r w:rsidRPr="00DB5731">
              <w:t>Mr J Turner, Principal Planner – Appeals Advisor</w:t>
            </w:r>
            <w:r w:rsidR="00FF3C19" w:rsidRPr="00DB5731">
              <w:t>.</w:t>
            </w:r>
          </w:p>
        </w:tc>
      </w:tr>
    </w:tbl>
    <w:p w14:paraId="279AB7F6" w14:textId="43102FF5" w:rsidR="00B5036B" w:rsidRPr="00D336A9" w:rsidRDefault="00255204" w:rsidP="004F6E65">
      <w:pPr>
        <w:pStyle w:val="Heading1"/>
        <w:ind w:right="-284"/>
        <w:rPr>
          <w:highlight w:val="yellow"/>
        </w:rPr>
      </w:pPr>
      <w:r>
        <w:rPr>
          <w:noProof/>
        </w:rPr>
        <w:lastRenderedPageBreak/>
        <w:drawing>
          <wp:anchor distT="0" distB="0" distL="114300" distR="114300" simplePos="0" relativeHeight="251661312" behindDoc="1" locked="0" layoutInCell="1" allowOverlap="1" wp14:anchorId="5F0CB2D4" wp14:editId="1A36E61F">
            <wp:simplePos x="0" y="0"/>
            <wp:positionH relativeFrom="column">
              <wp:posOffset>5183505</wp:posOffset>
            </wp:positionH>
            <wp:positionV relativeFrom="paragraph">
              <wp:posOffset>8459470</wp:posOffset>
            </wp:positionV>
            <wp:extent cx="1080000" cy="1080000"/>
            <wp:effectExtent l="0" t="0" r="6350" b="6350"/>
            <wp:wrapNone/>
            <wp:docPr id="5" name="VCAT Seal2"/>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5036B" w:rsidRPr="00D336A9">
        <w:t>Information</w:t>
      </w:r>
    </w:p>
    <w:tbl>
      <w:tblPr>
        <w:tblW w:w="5250" w:type="pct"/>
        <w:tblLook w:val="0000" w:firstRow="0" w:lastRow="0" w:firstColumn="0" w:lastColumn="0" w:noHBand="0" w:noVBand="0"/>
      </w:tblPr>
      <w:tblGrid>
        <w:gridCol w:w="2693"/>
        <w:gridCol w:w="6237"/>
      </w:tblGrid>
      <w:tr w:rsidR="00B5036B" w:rsidRPr="00A55738" w14:paraId="2A35CEB6" w14:textId="77777777" w:rsidTr="009F4C45">
        <w:trPr>
          <w:cantSplit/>
        </w:trPr>
        <w:tc>
          <w:tcPr>
            <w:tcW w:w="1508" w:type="pct"/>
          </w:tcPr>
          <w:p w14:paraId="75903247" w14:textId="77777777" w:rsidR="00B5036B" w:rsidRPr="00A55738" w:rsidRDefault="00B5036B" w:rsidP="00FC78BD">
            <w:pPr>
              <w:pStyle w:val="TitlePagetext"/>
            </w:pPr>
            <w:r w:rsidRPr="00A55738">
              <w:t>Description of proposal</w:t>
            </w:r>
          </w:p>
        </w:tc>
        <w:tc>
          <w:tcPr>
            <w:tcW w:w="3492" w:type="pct"/>
          </w:tcPr>
          <w:p w14:paraId="05EE8375" w14:textId="3F5239EB" w:rsidR="00B5036B" w:rsidRPr="00A55738" w:rsidRDefault="00555CFA" w:rsidP="00B5036B">
            <w:pPr>
              <w:pStyle w:val="TitlePagetext"/>
            </w:pPr>
            <w:r>
              <w:t>F</w:t>
            </w:r>
            <w:r w:rsidR="0078760C">
              <w:t xml:space="preserve">our double storey </w:t>
            </w:r>
            <w:r w:rsidR="00A5019C">
              <w:t>dwellings</w:t>
            </w:r>
            <w:r w:rsidR="00DB5731">
              <w:t>.</w:t>
            </w:r>
          </w:p>
        </w:tc>
      </w:tr>
      <w:tr w:rsidR="00B5036B" w:rsidRPr="00A55738" w14:paraId="22F196F2" w14:textId="77777777" w:rsidTr="009F4C45">
        <w:trPr>
          <w:cantSplit/>
        </w:trPr>
        <w:tc>
          <w:tcPr>
            <w:tcW w:w="1508" w:type="pct"/>
          </w:tcPr>
          <w:p w14:paraId="6D47E039" w14:textId="77777777" w:rsidR="00B5036B" w:rsidRPr="00A55738" w:rsidRDefault="00B5036B" w:rsidP="00FC78BD">
            <w:pPr>
              <w:pStyle w:val="TitlePagetext"/>
            </w:pPr>
            <w:r w:rsidRPr="00A55738">
              <w:t>Nature of proceeding</w:t>
            </w:r>
          </w:p>
        </w:tc>
        <w:tc>
          <w:tcPr>
            <w:tcW w:w="3492" w:type="pct"/>
          </w:tcPr>
          <w:p w14:paraId="7971EF2D" w14:textId="0832416F" w:rsidR="00B5036B" w:rsidRPr="00A55738" w:rsidRDefault="007104F2" w:rsidP="004C29A6">
            <w:pPr>
              <w:pStyle w:val="TitlePagetext"/>
            </w:pPr>
            <w:r>
              <w:t xml:space="preserve">Application under section 77 of the </w:t>
            </w:r>
            <w:r>
              <w:rPr>
                <w:i/>
              </w:rPr>
              <w:t>Planning and Environment Act 1987</w:t>
            </w:r>
            <w:r>
              <w:t xml:space="preserve"> – to review the refusal to grant a permit</w:t>
            </w:r>
            <w:r w:rsidR="00DB5731">
              <w:t>.</w:t>
            </w:r>
          </w:p>
        </w:tc>
      </w:tr>
      <w:tr w:rsidR="00B5036B" w:rsidRPr="00A55738" w14:paraId="2D8F33D8" w14:textId="77777777" w:rsidTr="009F4C45">
        <w:trPr>
          <w:cantSplit/>
        </w:trPr>
        <w:tc>
          <w:tcPr>
            <w:tcW w:w="1508" w:type="pct"/>
          </w:tcPr>
          <w:p w14:paraId="293896A9" w14:textId="77777777" w:rsidR="00B5036B" w:rsidRPr="00A55738" w:rsidRDefault="00B5036B" w:rsidP="00FC78BD">
            <w:pPr>
              <w:pStyle w:val="TitlePagetext"/>
            </w:pPr>
            <w:r w:rsidRPr="00A55738">
              <w:t>Planning scheme</w:t>
            </w:r>
          </w:p>
        </w:tc>
        <w:tc>
          <w:tcPr>
            <w:tcW w:w="3492" w:type="pct"/>
          </w:tcPr>
          <w:p w14:paraId="7AF89593" w14:textId="279B5C18" w:rsidR="00B5036B" w:rsidRPr="00A55738" w:rsidRDefault="001E7ECE" w:rsidP="00FC78BD">
            <w:pPr>
              <w:pStyle w:val="TitlePagetext"/>
            </w:pPr>
            <w:r>
              <w:rPr>
                <w:noProof/>
              </w:rPr>
              <w:t>Monash</w:t>
            </w:r>
            <w:r w:rsidR="00083B7B">
              <w:rPr>
                <w:noProof/>
              </w:rPr>
              <w:t xml:space="preserve"> </w:t>
            </w:r>
            <w:r w:rsidR="00B5036B" w:rsidRPr="00A55738">
              <w:t>Planning Scheme [</w:t>
            </w:r>
            <w:r w:rsidR="00B5036B" w:rsidRPr="00A55738">
              <w:rPr>
                <w:b/>
              </w:rPr>
              <w:t>scheme</w:t>
            </w:r>
            <w:r w:rsidR="00B5036B" w:rsidRPr="00A55738">
              <w:t>].</w:t>
            </w:r>
          </w:p>
        </w:tc>
      </w:tr>
      <w:tr w:rsidR="00B5036B" w:rsidRPr="00A55738" w14:paraId="39F553CB" w14:textId="77777777" w:rsidTr="009F4C45">
        <w:trPr>
          <w:cantSplit/>
        </w:trPr>
        <w:tc>
          <w:tcPr>
            <w:tcW w:w="1508" w:type="pct"/>
          </w:tcPr>
          <w:p w14:paraId="69C4C0A7" w14:textId="77777777" w:rsidR="00B5036B" w:rsidRPr="00A55738" w:rsidRDefault="00B5036B" w:rsidP="00FC78BD">
            <w:pPr>
              <w:pStyle w:val="TitlePagetext"/>
            </w:pPr>
            <w:r w:rsidRPr="00A55738">
              <w:t>Zone and overlays</w:t>
            </w:r>
          </w:p>
        </w:tc>
        <w:tc>
          <w:tcPr>
            <w:tcW w:w="3492" w:type="pct"/>
          </w:tcPr>
          <w:p w14:paraId="04E82286" w14:textId="6756C976" w:rsidR="00981E5F" w:rsidRDefault="00036F88" w:rsidP="00981E5F">
            <w:pPr>
              <w:pStyle w:val="TitlePagetext"/>
            </w:pPr>
            <w:r>
              <w:t>Residential Growth</w:t>
            </w:r>
            <w:r w:rsidR="007E49AC">
              <w:t xml:space="preserve"> </w:t>
            </w:r>
            <w:r w:rsidR="00F84A3D">
              <w:t xml:space="preserve">Zone, </w:t>
            </w:r>
            <w:r w:rsidR="007E49AC">
              <w:t>Schedule 3</w:t>
            </w:r>
            <w:r w:rsidR="00E444C0">
              <w:t xml:space="preserve"> </w:t>
            </w:r>
            <w:r w:rsidR="00981E5F">
              <w:t>[</w:t>
            </w:r>
            <w:r w:rsidR="00981E5F" w:rsidRPr="0078760C">
              <w:rPr>
                <w:b/>
                <w:bCs/>
              </w:rPr>
              <w:t>RGZ3</w:t>
            </w:r>
            <w:r w:rsidR="00981E5F">
              <w:t xml:space="preserve">] </w:t>
            </w:r>
            <w:r w:rsidR="00E444C0">
              <w:t>(shown below</w:t>
            </w:r>
            <w:r w:rsidR="00E444C0">
              <w:rPr>
                <w:rStyle w:val="FootnoteReference"/>
              </w:rPr>
              <w:footnoteReference w:id="1"/>
            </w:r>
            <w:r w:rsidR="00E444C0">
              <w:t>)</w:t>
            </w:r>
            <w:r w:rsidR="00084C68">
              <w:t>,</w:t>
            </w:r>
            <w:r w:rsidR="00E444C0">
              <w:t xml:space="preserve"> </w:t>
            </w:r>
            <w:r w:rsidR="00C35351" w:rsidRPr="0078760C">
              <w:t>Clayton Major Activity Centre and Monash National Employment and Innovation Cluster</w:t>
            </w:r>
            <w:r w:rsidR="00981E5F">
              <w:t>.</w:t>
            </w:r>
          </w:p>
          <w:p w14:paraId="2A7086EF" w14:textId="7EF16532" w:rsidR="007104F2" w:rsidRPr="00A55738" w:rsidRDefault="00DB5731" w:rsidP="00981E5F">
            <w:pPr>
              <w:pStyle w:val="TitlePagetext"/>
            </w:pPr>
            <w:r>
              <w:rPr>
                <w:noProof/>
              </w:rPr>
              <w:drawing>
                <wp:inline distT="0" distB="0" distL="0" distR="0" wp14:anchorId="0DC42C26" wp14:editId="0A4055D2">
                  <wp:extent cx="3609672" cy="1657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38975" cy="1670804"/>
                          </a:xfrm>
                          <a:prstGeom prst="rect">
                            <a:avLst/>
                          </a:prstGeom>
                        </pic:spPr>
                      </pic:pic>
                    </a:graphicData>
                  </a:graphic>
                </wp:inline>
              </w:drawing>
            </w:r>
          </w:p>
        </w:tc>
      </w:tr>
      <w:tr w:rsidR="00B5036B" w:rsidRPr="00A55738" w14:paraId="53B76894" w14:textId="77777777" w:rsidTr="009F4C45">
        <w:trPr>
          <w:cantSplit/>
        </w:trPr>
        <w:tc>
          <w:tcPr>
            <w:tcW w:w="1508" w:type="pct"/>
          </w:tcPr>
          <w:p w14:paraId="139C6BD7" w14:textId="77777777" w:rsidR="00B5036B" w:rsidRPr="00A55738" w:rsidRDefault="00B5036B" w:rsidP="00FC78BD">
            <w:pPr>
              <w:pStyle w:val="TitlePagetext"/>
            </w:pPr>
            <w:r w:rsidRPr="00A55738">
              <w:t>Permit requirements</w:t>
            </w:r>
          </w:p>
        </w:tc>
        <w:tc>
          <w:tcPr>
            <w:tcW w:w="3492" w:type="pct"/>
          </w:tcPr>
          <w:p w14:paraId="5AFA69BD" w14:textId="4F5BF9A3" w:rsidR="0050240C" w:rsidRPr="00A55738" w:rsidRDefault="00036F88" w:rsidP="00C4569F">
            <w:pPr>
              <w:pStyle w:val="TitlePagetext"/>
            </w:pPr>
            <w:r>
              <w:t xml:space="preserve">Clause 32.07-5 </w:t>
            </w:r>
            <w:r w:rsidR="00555CFA">
              <w:t>-</w:t>
            </w:r>
            <w:r>
              <w:t xml:space="preserve"> to construct two or more dwellings on a lot</w:t>
            </w:r>
            <w:r w:rsidR="00383357">
              <w:t>.</w:t>
            </w:r>
            <w:r>
              <w:t xml:space="preserve">  </w:t>
            </w:r>
          </w:p>
        </w:tc>
      </w:tr>
      <w:tr w:rsidR="00B5036B" w:rsidRPr="00A55738" w14:paraId="54BE518D" w14:textId="77777777" w:rsidTr="009F4C45">
        <w:trPr>
          <w:cantSplit/>
        </w:trPr>
        <w:tc>
          <w:tcPr>
            <w:tcW w:w="1508" w:type="pct"/>
          </w:tcPr>
          <w:p w14:paraId="3E33C557" w14:textId="77777777" w:rsidR="00B5036B" w:rsidRPr="00A55738" w:rsidRDefault="00B5036B" w:rsidP="00FC78BD">
            <w:pPr>
              <w:pStyle w:val="TitlePagetext"/>
            </w:pPr>
            <w:r w:rsidRPr="00A55738">
              <w:t>Relevant scheme policies and provisions</w:t>
            </w:r>
          </w:p>
        </w:tc>
        <w:tc>
          <w:tcPr>
            <w:tcW w:w="3492" w:type="pct"/>
          </w:tcPr>
          <w:p w14:paraId="632670B2" w14:textId="02AAEF04" w:rsidR="00B5036B" w:rsidRPr="00A55738" w:rsidRDefault="00B5036B" w:rsidP="00FC78BD">
            <w:pPr>
              <w:pStyle w:val="TitlePagetext"/>
            </w:pPr>
            <w:r w:rsidRPr="00A55738">
              <w:t xml:space="preserve">Clauses 11, 15, 16, 21, </w:t>
            </w:r>
            <w:r w:rsidR="00036F88">
              <w:t>22.01</w:t>
            </w:r>
            <w:r w:rsidR="00383357">
              <w:t xml:space="preserve">, </w:t>
            </w:r>
            <w:r>
              <w:t>22.</w:t>
            </w:r>
            <w:r w:rsidR="00383357">
              <w:t>05, 32.</w:t>
            </w:r>
            <w:r w:rsidR="00036F88">
              <w:t>07</w:t>
            </w:r>
            <w:r w:rsidR="00383357">
              <w:t xml:space="preserve">, </w:t>
            </w:r>
            <w:r w:rsidR="005F657C">
              <w:t>52.06, 55</w:t>
            </w:r>
            <w:r w:rsidRPr="00A55738">
              <w:t>, 65 and 71.</w:t>
            </w:r>
          </w:p>
        </w:tc>
      </w:tr>
      <w:tr w:rsidR="00B5036B" w:rsidRPr="00A55738" w14:paraId="66605F86" w14:textId="77777777" w:rsidTr="009F4C45">
        <w:trPr>
          <w:cantSplit/>
        </w:trPr>
        <w:tc>
          <w:tcPr>
            <w:tcW w:w="1508" w:type="pct"/>
          </w:tcPr>
          <w:p w14:paraId="244B75DA" w14:textId="77777777" w:rsidR="00B5036B" w:rsidRPr="00A55738" w:rsidRDefault="00B5036B" w:rsidP="00FC78BD">
            <w:pPr>
              <w:pStyle w:val="TitlePagetext"/>
            </w:pPr>
            <w:r>
              <w:t>Subject l</w:t>
            </w:r>
            <w:r w:rsidRPr="00A55738">
              <w:t>and description</w:t>
            </w:r>
          </w:p>
        </w:tc>
        <w:tc>
          <w:tcPr>
            <w:tcW w:w="3492" w:type="pct"/>
          </w:tcPr>
          <w:p w14:paraId="7D979D16" w14:textId="57C6C0E9" w:rsidR="009F4C45" w:rsidRDefault="00B5036B" w:rsidP="005F657C">
            <w:pPr>
              <w:pStyle w:val="TitlePagetext"/>
            </w:pPr>
            <w:r w:rsidRPr="00A55738">
              <w:t xml:space="preserve">The </w:t>
            </w:r>
            <w:r>
              <w:t xml:space="preserve">subject </w:t>
            </w:r>
            <w:r w:rsidRPr="00A55738">
              <w:t xml:space="preserve">land </w:t>
            </w:r>
            <w:r w:rsidR="00DB5731">
              <w:t>is on the west side of Kanooka Grove</w:t>
            </w:r>
            <w:r w:rsidR="00481821">
              <w:t>, close to its southern end with Carinish Road and the elevated Skyrail</w:t>
            </w:r>
            <w:r w:rsidR="00DB5731">
              <w:t xml:space="preserve">.  </w:t>
            </w:r>
            <w:r w:rsidR="00481821">
              <w:t>The land</w:t>
            </w:r>
            <w:r w:rsidR="00DB5731">
              <w:t xml:space="preserve"> is </w:t>
            </w:r>
            <w:r w:rsidR="009F4C45">
              <w:t xml:space="preserve">triangular in shape and has an area of </w:t>
            </w:r>
            <w:r w:rsidR="00DB5731">
              <w:t>839m</w:t>
            </w:r>
            <w:r w:rsidR="00DB5731" w:rsidRPr="00DB5731">
              <w:rPr>
                <w:vertAlign w:val="superscript"/>
              </w:rPr>
              <w:t>2</w:t>
            </w:r>
            <w:r w:rsidR="004A3F64">
              <w:t xml:space="preserve">.  </w:t>
            </w:r>
            <w:r w:rsidR="00481821">
              <w:t>It</w:t>
            </w:r>
            <w:r w:rsidR="009F4C45">
              <w:t xml:space="preserve"> </w:t>
            </w:r>
            <w:r w:rsidR="00DB5731">
              <w:t>contains a dwelling</w:t>
            </w:r>
            <w:r w:rsidR="00036F88">
              <w:t>.</w:t>
            </w:r>
            <w:r w:rsidR="00AD63F6">
              <w:t xml:space="preserve"> </w:t>
            </w:r>
          </w:p>
          <w:p w14:paraId="428A9B41" w14:textId="57F183B6" w:rsidR="00106769" w:rsidRDefault="00AD63F6" w:rsidP="005F657C">
            <w:pPr>
              <w:pStyle w:val="TitlePagetext"/>
            </w:pPr>
            <w:r>
              <w:t xml:space="preserve">The </w:t>
            </w:r>
            <w:r w:rsidR="009F4C45">
              <w:t xml:space="preserve">subject </w:t>
            </w:r>
            <w:r>
              <w:t xml:space="preserve">land abuts properties that are developed with </w:t>
            </w:r>
            <w:r w:rsidR="004A1FDE">
              <w:t xml:space="preserve">single </w:t>
            </w:r>
            <w:r w:rsidR="007A3EBD">
              <w:t xml:space="preserve">storey </w:t>
            </w:r>
            <w:r w:rsidR="004A1FDE">
              <w:t>or double storey townhouses to the north, south and west</w:t>
            </w:r>
            <w:r w:rsidR="009F4C45">
              <w:t xml:space="preserve">.  Land on the east side of Kanooka Grove is within a General Residential Zone </w:t>
            </w:r>
            <w:r w:rsidR="00084C68">
              <w:t xml:space="preserve">Schedule 6 </w:t>
            </w:r>
            <w:r w:rsidR="009F4C45">
              <w:t>[</w:t>
            </w:r>
            <w:r w:rsidR="009F4C45" w:rsidRPr="007A3EBD">
              <w:rPr>
                <w:b/>
                <w:bCs/>
              </w:rPr>
              <w:t>GRZ6</w:t>
            </w:r>
            <w:r w:rsidR="009F4C45">
              <w:t>].  Opposite the subject land are single storey dwellings at Nos. 124 and 126 Kanooka Grove, the latter of which contains two dwellings.</w:t>
            </w:r>
          </w:p>
          <w:p w14:paraId="58FC694C" w14:textId="4782EEC7" w:rsidR="00481821" w:rsidRPr="00A55738" w:rsidRDefault="00481821" w:rsidP="005F657C">
            <w:pPr>
              <w:pStyle w:val="TitlePagetext"/>
            </w:pPr>
            <w:r>
              <w:t>The area is charact</w:t>
            </w:r>
            <w:r w:rsidR="004A3F64">
              <w:t>er</w:t>
            </w:r>
            <w:r>
              <w:t xml:space="preserve">ised by one and two storey dwellings, including multi-units.  </w:t>
            </w:r>
            <w:r w:rsidR="004A3F64">
              <w:t>The existing units include older single storey dwellings and recent double storey forms.</w:t>
            </w:r>
          </w:p>
        </w:tc>
      </w:tr>
      <w:tr w:rsidR="0078760C" w:rsidRPr="00A55738" w14:paraId="76785C1C" w14:textId="77777777" w:rsidTr="009F4C45">
        <w:trPr>
          <w:cantSplit/>
        </w:trPr>
        <w:tc>
          <w:tcPr>
            <w:tcW w:w="1508" w:type="pct"/>
          </w:tcPr>
          <w:p w14:paraId="4E48022D" w14:textId="1258F641" w:rsidR="0078760C" w:rsidRDefault="0078760C" w:rsidP="00FC78BD">
            <w:pPr>
              <w:pStyle w:val="TitlePagetext"/>
            </w:pPr>
            <w:r>
              <w:t xml:space="preserve">Tribunal inspection </w:t>
            </w:r>
          </w:p>
        </w:tc>
        <w:tc>
          <w:tcPr>
            <w:tcW w:w="3492" w:type="pct"/>
          </w:tcPr>
          <w:p w14:paraId="3B88497F" w14:textId="1EEE9E73" w:rsidR="0078760C" w:rsidRPr="00A55738" w:rsidRDefault="00DB5731" w:rsidP="005F657C">
            <w:pPr>
              <w:pStyle w:val="TitlePagetext"/>
            </w:pPr>
            <w:r>
              <w:t>24 June</w:t>
            </w:r>
            <w:r w:rsidR="00D66573">
              <w:t xml:space="preserve"> 2020 (unaccompanied).</w:t>
            </w:r>
          </w:p>
        </w:tc>
      </w:tr>
    </w:tbl>
    <w:p w14:paraId="0D82CA7D" w14:textId="77777777" w:rsidR="009F6F4D" w:rsidRDefault="009F6F4D">
      <w:pPr>
        <w:rPr>
          <w:rFonts w:ascii="Arial" w:hAnsi="Arial"/>
          <w:b/>
          <w:bCs/>
          <w:caps/>
          <w:sz w:val="24"/>
          <w:szCs w:val="24"/>
        </w:rPr>
      </w:pPr>
      <w:r>
        <w:br w:type="page"/>
      </w:r>
    </w:p>
    <w:p w14:paraId="654CC61D" w14:textId="3D4BB15B" w:rsidR="00345370" w:rsidRPr="00106769" w:rsidRDefault="00255204" w:rsidP="00106769">
      <w:pPr>
        <w:pStyle w:val="Heading1"/>
      </w:pPr>
      <w:r>
        <w:rPr>
          <w:noProof/>
        </w:rPr>
        <w:lastRenderedPageBreak/>
        <w:drawing>
          <wp:anchor distT="0" distB="0" distL="114300" distR="114300" simplePos="0" relativeHeight="251662336" behindDoc="1" locked="0" layoutInCell="1" allowOverlap="1" wp14:anchorId="1BDFBA64" wp14:editId="380BE93E">
            <wp:simplePos x="0" y="0"/>
            <wp:positionH relativeFrom="column">
              <wp:posOffset>5183505</wp:posOffset>
            </wp:positionH>
            <wp:positionV relativeFrom="paragraph">
              <wp:posOffset>8459470</wp:posOffset>
            </wp:positionV>
            <wp:extent cx="1080000" cy="1080000"/>
            <wp:effectExtent l="0" t="0" r="6350" b="6350"/>
            <wp:wrapNone/>
            <wp:docPr id="7" name="VCAT Seal3"/>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45370" w:rsidRPr="00106769">
        <w:t>REASONS</w:t>
      </w:r>
      <w:r w:rsidR="00FB6A9F" w:rsidRPr="00106769">
        <w:rPr>
          <w:rStyle w:val="FootnoteReference"/>
        </w:rPr>
        <w:footnoteReference w:id="2"/>
      </w:r>
    </w:p>
    <w:p w14:paraId="6A20B375" w14:textId="22E48150" w:rsidR="005B05DF" w:rsidRDefault="004A3F64" w:rsidP="00920525">
      <w:pPr>
        <w:pStyle w:val="Heading2"/>
        <w:spacing w:before="120"/>
      </w:pPr>
      <w:r>
        <w:t>ABOUT THIS APPLICATION</w:t>
      </w:r>
    </w:p>
    <w:p w14:paraId="36C2FDA7" w14:textId="55ED057A" w:rsidR="005F657C" w:rsidRDefault="00FD07A6" w:rsidP="00FC78BD">
      <w:pPr>
        <w:pStyle w:val="Para1"/>
      </w:pPr>
      <w:r>
        <w:rPr>
          <w:noProof/>
        </w:rPr>
        <w:t xml:space="preserve">Mr </w:t>
      </w:r>
      <w:r w:rsidR="009B7246" w:rsidRPr="00C52350">
        <w:rPr>
          <w:noProof/>
        </w:rPr>
        <w:t>Aldo Di Nicolantonio</w:t>
      </w:r>
      <w:r w:rsidR="009B7246">
        <w:t xml:space="preserve"> </w:t>
      </w:r>
      <w:r w:rsidR="00084C68">
        <w:t>[</w:t>
      </w:r>
      <w:r w:rsidR="00084C68" w:rsidRPr="00084C68">
        <w:rPr>
          <w:b/>
          <w:bCs/>
        </w:rPr>
        <w:t>applicant</w:t>
      </w:r>
      <w:r w:rsidR="00084C68">
        <w:t xml:space="preserve">] </w:t>
      </w:r>
      <w:r w:rsidR="00C35351">
        <w:t xml:space="preserve">applied to the Monash City Council </w:t>
      </w:r>
      <w:r w:rsidR="007A3EBD">
        <w:t>[</w:t>
      </w:r>
      <w:r w:rsidR="007A3EBD" w:rsidRPr="007A3EBD">
        <w:rPr>
          <w:b/>
          <w:bCs/>
        </w:rPr>
        <w:t>Council</w:t>
      </w:r>
      <w:r w:rsidR="007A3EBD">
        <w:t xml:space="preserve">] </w:t>
      </w:r>
      <w:r w:rsidR="00C35351">
        <w:t xml:space="preserve">to </w:t>
      </w:r>
      <w:r w:rsidR="004C29A6">
        <w:t xml:space="preserve">construct four dwellings on the subject land.  </w:t>
      </w:r>
      <w:r w:rsidR="009D675E">
        <w:t>The</w:t>
      </w:r>
      <w:r w:rsidR="004C29A6">
        <w:t xml:space="preserve"> Council </w:t>
      </w:r>
      <w:r w:rsidR="00091B51">
        <w:t>refused</w:t>
      </w:r>
      <w:r w:rsidR="004C29A6">
        <w:t xml:space="preserve"> to grant a permit</w:t>
      </w:r>
      <w:r w:rsidR="009D675E">
        <w:t xml:space="preserve">.  The </w:t>
      </w:r>
      <w:r w:rsidR="00196DCC">
        <w:t xml:space="preserve">permit applicant has asked the Tribunal to </w:t>
      </w:r>
      <w:r w:rsidR="00091B51">
        <w:t>review that decision</w:t>
      </w:r>
      <w:r w:rsidR="00555CFA">
        <w:t xml:space="preserve"> and </w:t>
      </w:r>
      <w:r w:rsidR="009D675E">
        <w:t>grant</w:t>
      </w:r>
      <w:r w:rsidR="00196DCC">
        <w:t xml:space="preserve"> a permit</w:t>
      </w:r>
      <w:r w:rsidR="009D675E">
        <w:t xml:space="preserve"> for the proposed development</w:t>
      </w:r>
      <w:r w:rsidR="00196DCC">
        <w:t>.</w:t>
      </w:r>
    </w:p>
    <w:p w14:paraId="597B6FA2" w14:textId="43ED5076" w:rsidR="00091B51" w:rsidRDefault="00196DCC" w:rsidP="00DC2ADF">
      <w:pPr>
        <w:pStyle w:val="Para1"/>
      </w:pPr>
      <w:r>
        <w:t xml:space="preserve">The applicant submits the </w:t>
      </w:r>
      <w:r w:rsidR="009B7246">
        <w:t xml:space="preserve">proposal to construct four double storey townhouses is appropriate given the irregular shape of the subject land </w:t>
      </w:r>
      <w:r w:rsidR="00B2492B">
        <w:t>and the</w:t>
      </w:r>
      <w:r w:rsidR="009B7246">
        <w:t xml:space="preserve"> prevailing character</w:t>
      </w:r>
      <w:r w:rsidR="00B2492B">
        <w:t xml:space="preserve"> of medium density housing</w:t>
      </w:r>
      <w:r w:rsidR="009B7246">
        <w:t xml:space="preserve">. Mr Hocking submits that the </w:t>
      </w:r>
      <w:r w:rsidR="007A3EBD">
        <w:t>triangular</w:t>
      </w:r>
      <w:r w:rsidR="009B7246">
        <w:t xml:space="preserve"> lot </w:t>
      </w:r>
      <w:r w:rsidR="00066115">
        <w:t>requires</w:t>
      </w:r>
      <w:r w:rsidR="009B7246">
        <w:t xml:space="preserve"> a specific design and site-specific response. The </w:t>
      </w:r>
      <w:r w:rsidR="00B2492B">
        <w:t>design meets</w:t>
      </w:r>
      <w:r w:rsidR="009B7246">
        <w:t xml:space="preserve"> the preferred character statement and objectives for this location</w:t>
      </w:r>
      <w:r w:rsidR="00B2492B">
        <w:t xml:space="preserve"> including achieving dwelling diversity.  The design meets all varied clause 55 standards in RGZ3 and positively contributes to the landscaping and design outcomes sought by RGZ3 having regard to the strategic context and specific site considerations that apply.</w:t>
      </w:r>
    </w:p>
    <w:p w14:paraId="0A24D381" w14:textId="02349EA1" w:rsidR="00E275AF" w:rsidRDefault="00196DCC" w:rsidP="00FF7637">
      <w:pPr>
        <w:pStyle w:val="Para1"/>
      </w:pPr>
      <w:r>
        <w:t>These and related submissions respond to the Council’s position that the</w:t>
      </w:r>
      <w:r w:rsidR="00FF7637">
        <w:t xml:space="preserve"> permit application should be refused.</w:t>
      </w:r>
      <w:r w:rsidR="00AD63F6">
        <w:rPr>
          <w:rStyle w:val="FootnoteReference"/>
        </w:rPr>
        <w:footnoteReference w:id="3"/>
      </w:r>
      <w:r w:rsidR="00FF7637">
        <w:t xml:space="preserve">  The Council</w:t>
      </w:r>
      <w:r w:rsidR="003F0557">
        <w:t xml:space="preserve"> submits that the critical issue is that the </w:t>
      </w:r>
      <w:r w:rsidR="009D675E">
        <w:t>proposal is an</w:t>
      </w:r>
      <w:r w:rsidR="003F0557">
        <w:t xml:space="preserve"> under</w:t>
      </w:r>
      <w:r w:rsidR="007A3EBD">
        <w:t>-</w:t>
      </w:r>
      <w:r w:rsidR="003F0557">
        <w:t>development of the site and is contrary to the clear direction given by the scheme for the Clayton Activity Centre. The Council also has concerns regarding the inadequate provision of landscaping, building bulk and mass, as well as vehicle access.</w:t>
      </w:r>
    </w:p>
    <w:p w14:paraId="32531DB7" w14:textId="498DDE84" w:rsidR="00F61C67" w:rsidRDefault="00DF4D3A" w:rsidP="00FC78BD">
      <w:pPr>
        <w:pStyle w:val="Para1"/>
      </w:pPr>
      <w:r w:rsidRPr="00CD12D4">
        <w:rPr>
          <w:color w:val="000000"/>
        </w:rPr>
        <w:t>I must decide whether the proposal will produce an acceptable outcome having regard to the relevant policies and provisions in the scheme.  Clause 71.02-3 requires the decision-maker to integrate the range of policies</w:t>
      </w:r>
      <w:r w:rsidRPr="00EE7575">
        <w:rPr>
          <w:color w:val="000000"/>
        </w:rPr>
        <w:t xml:space="preserve"> relevant to the issues to be determined and balance conflicting objectives in favour of net community benefit and sustainable development</w:t>
      </w:r>
      <w:r>
        <w:rPr>
          <w:color w:val="000000"/>
        </w:rPr>
        <w:t>.</w:t>
      </w:r>
    </w:p>
    <w:p w14:paraId="76473781" w14:textId="1BDF419C" w:rsidR="00FD1E2C" w:rsidRDefault="00FD1E2C" w:rsidP="005F657C">
      <w:pPr>
        <w:pStyle w:val="Heading2"/>
      </w:pPr>
      <w:r>
        <w:t xml:space="preserve">strategic </w:t>
      </w:r>
      <w:r w:rsidR="004A3F64">
        <w:t>CONTEXT</w:t>
      </w:r>
    </w:p>
    <w:p w14:paraId="06F4FB80" w14:textId="77777777" w:rsidR="00B2492B" w:rsidRDefault="00B2492B" w:rsidP="00B2492B">
      <w:pPr>
        <w:pStyle w:val="Heading3"/>
      </w:pPr>
      <w:r>
        <w:t xml:space="preserve">Current scheme </w:t>
      </w:r>
    </w:p>
    <w:p w14:paraId="11307290" w14:textId="77777777" w:rsidR="009D675E" w:rsidRDefault="003F0557" w:rsidP="000626CC">
      <w:pPr>
        <w:pStyle w:val="Para1"/>
      </w:pPr>
      <w:r>
        <w:t xml:space="preserve">It is common ground that the subject land is located within the boundaries of the Clayton Activity Centre where change is directed and expected by </w:t>
      </w:r>
      <w:r w:rsidR="00376D22">
        <w:t xml:space="preserve">State and local </w:t>
      </w:r>
      <w:r>
        <w:t>policy</w:t>
      </w:r>
      <w:r w:rsidR="00376D22">
        <w:rPr>
          <w:rStyle w:val="FootnoteReference"/>
        </w:rPr>
        <w:footnoteReference w:id="4"/>
      </w:r>
      <w:r>
        <w:t xml:space="preserve"> and through the application of the RGZ3.</w:t>
      </w:r>
      <w:r w:rsidR="00376D22">
        <w:t xml:space="preserve">  </w:t>
      </w:r>
    </w:p>
    <w:p w14:paraId="3F5BE57C" w14:textId="4B72E10C" w:rsidR="00B2492B" w:rsidRDefault="004A3F64" w:rsidP="000626CC">
      <w:pPr>
        <w:pStyle w:val="Para1"/>
      </w:pPr>
      <w:r>
        <w:t xml:space="preserve">The </w:t>
      </w:r>
      <w:r w:rsidR="00B2492B">
        <w:t xml:space="preserve">subject </w:t>
      </w:r>
      <w:r>
        <w:t xml:space="preserve">land </w:t>
      </w:r>
      <w:r w:rsidR="00B2492B">
        <w:t xml:space="preserve">and surrounds </w:t>
      </w:r>
      <w:r w:rsidR="009D675E">
        <w:t xml:space="preserve">in the RGZ3 </w:t>
      </w:r>
      <w:r w:rsidR="00B2492B">
        <w:t>are</w:t>
      </w:r>
      <w:r>
        <w:t xml:space="preserve"> </w:t>
      </w:r>
      <w:r w:rsidR="009D675E">
        <w:t xml:space="preserve">expressly </w:t>
      </w:r>
      <w:r>
        <w:t xml:space="preserve">earmarked </w:t>
      </w:r>
      <w:r w:rsidR="009D675E">
        <w:t>for</w:t>
      </w:r>
      <w:r w:rsidR="00376D22">
        <w:t xml:space="preserve"> housing growth.  </w:t>
      </w:r>
    </w:p>
    <w:p w14:paraId="01BB1DC1" w14:textId="0BE42BD9" w:rsidR="00B2492B" w:rsidRDefault="00C10662" w:rsidP="00DC2ADF">
      <w:pPr>
        <w:pStyle w:val="Para1"/>
      </w:pPr>
      <w:r w:rsidRPr="00E275AF">
        <w:t xml:space="preserve">The </w:t>
      </w:r>
      <w:r w:rsidR="001D2E9D">
        <w:t xml:space="preserve">purpose of clause 32.07 includes to provide increased housing densities in buildings up to four storeys and encourage housing diversity.  </w:t>
      </w:r>
    </w:p>
    <w:p w14:paraId="74862E42" w14:textId="5876ADB8" w:rsidR="00CB01F7" w:rsidRPr="00E275AF" w:rsidRDefault="001D2E9D" w:rsidP="00DC2ADF">
      <w:pPr>
        <w:pStyle w:val="Para1"/>
      </w:pPr>
      <w:r>
        <w:t xml:space="preserve">The design objectives in the </w:t>
      </w:r>
      <w:r w:rsidR="00B2492B">
        <w:t>s</w:t>
      </w:r>
      <w:r>
        <w:t>chedule are to be achieved.</w:t>
      </w:r>
      <w:r w:rsidR="00B2492B">
        <w:t xml:space="preserve"> </w:t>
      </w:r>
      <w:r>
        <w:t xml:space="preserve">The </w:t>
      </w:r>
      <w:r w:rsidR="00C10662" w:rsidRPr="00E275AF">
        <w:t>objective</w:t>
      </w:r>
      <w:r w:rsidR="00B2492B">
        <w:t>s</w:t>
      </w:r>
      <w:r w:rsidR="00C10662" w:rsidRPr="00E275AF">
        <w:t xml:space="preserve"> for RGZ3 </w:t>
      </w:r>
      <w:r w:rsidR="00B2492B">
        <w:t>are</w:t>
      </w:r>
      <w:r w:rsidR="00C10662" w:rsidRPr="00E275AF">
        <w:t>:</w:t>
      </w:r>
    </w:p>
    <w:p w14:paraId="4E314F88" w14:textId="5C7E41BE" w:rsidR="00C10662" w:rsidRPr="006400A9" w:rsidRDefault="00255204" w:rsidP="006400A9">
      <w:pPr>
        <w:pStyle w:val="Quote3"/>
      </w:pPr>
      <w:r>
        <w:rPr>
          <w:noProof/>
        </w:rPr>
        <w:lastRenderedPageBreak/>
        <w:drawing>
          <wp:anchor distT="0" distB="0" distL="114300" distR="114300" simplePos="0" relativeHeight="251663360" behindDoc="1" locked="0" layoutInCell="1" allowOverlap="1" wp14:anchorId="72AD08F6" wp14:editId="2065EE05">
            <wp:simplePos x="0" y="0"/>
            <wp:positionH relativeFrom="column">
              <wp:posOffset>5183505</wp:posOffset>
            </wp:positionH>
            <wp:positionV relativeFrom="paragraph">
              <wp:posOffset>8459470</wp:posOffset>
            </wp:positionV>
            <wp:extent cx="1080000" cy="1080000"/>
            <wp:effectExtent l="0" t="0" r="6350" b="6350"/>
            <wp:wrapNone/>
            <wp:docPr id="8" name="VCAT Seal4"/>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10662" w:rsidRPr="006400A9">
        <w:t xml:space="preserve">To facilitate housing growth in the form of apartment developments of a high quality design and finish.  </w:t>
      </w:r>
    </w:p>
    <w:p w14:paraId="54C4F450" w14:textId="77777777" w:rsidR="00C10662" w:rsidRPr="006400A9" w:rsidRDefault="00C10662" w:rsidP="006400A9">
      <w:pPr>
        <w:pStyle w:val="Quote3"/>
      </w:pPr>
      <w:r w:rsidRPr="006400A9">
        <w:t xml:space="preserve">To ensure developments are constructed within an open garden setting through the retention and planting of vegetation, including canopy trees.  </w:t>
      </w:r>
    </w:p>
    <w:p w14:paraId="22DD8E16" w14:textId="77777777" w:rsidR="00C10662" w:rsidRPr="006400A9" w:rsidRDefault="00C10662" w:rsidP="006400A9">
      <w:pPr>
        <w:pStyle w:val="Quote3"/>
      </w:pPr>
      <w:r w:rsidRPr="006400A9">
        <w:t xml:space="preserve">To ensure that the height, scale and form of development respects any sensitive residential interfaces and minimises the appearance of visual bulk. </w:t>
      </w:r>
    </w:p>
    <w:p w14:paraId="35397B41" w14:textId="5B433CDF" w:rsidR="00C10662" w:rsidRDefault="00C10662" w:rsidP="00E275AF">
      <w:pPr>
        <w:pStyle w:val="Para1"/>
      </w:pPr>
      <w:r>
        <w:rPr>
          <w:rFonts w:ascii="Calibri" w:eastAsia="Calibri" w:hAnsi="Calibri" w:cs="Calibri"/>
          <w:sz w:val="22"/>
        </w:rPr>
        <w:tab/>
      </w:r>
      <w:r>
        <w:t xml:space="preserve">The decision guidelines </w:t>
      </w:r>
      <w:r w:rsidR="00084C68">
        <w:t>in RGZ3</w:t>
      </w:r>
      <w:r>
        <w:t xml:space="preserve"> include</w:t>
      </w:r>
      <w:r w:rsidR="00B2492B">
        <w:t xml:space="preserve"> (among others)</w:t>
      </w:r>
      <w:r>
        <w:t xml:space="preserve">:  </w:t>
      </w:r>
    </w:p>
    <w:p w14:paraId="793A4E04" w14:textId="77777777" w:rsidR="00C10662" w:rsidRPr="006400A9" w:rsidRDefault="00C10662" w:rsidP="006400A9">
      <w:pPr>
        <w:pStyle w:val="Quote3"/>
      </w:pPr>
      <w:r w:rsidRPr="006400A9">
        <w:t xml:space="preserve">Whether the development contains elements of the ‘garden city’ character. Specifically, whether the proposal:  </w:t>
      </w:r>
    </w:p>
    <w:p w14:paraId="60ED48FB" w14:textId="77777777" w:rsidR="00C10662" w:rsidRPr="006400A9" w:rsidRDefault="00C10662" w:rsidP="006400A9">
      <w:pPr>
        <w:pStyle w:val="Quote3"/>
        <w:numPr>
          <w:ilvl w:val="1"/>
          <w:numId w:val="5"/>
        </w:numPr>
        <w:tabs>
          <w:tab w:val="clear" w:pos="1440"/>
          <w:tab w:val="num" w:pos="2127"/>
        </w:tabs>
        <w:ind w:left="2127"/>
      </w:pPr>
      <w:r w:rsidRPr="006400A9">
        <w:t xml:space="preserve">Provides vegetation in the front setback that softens the appearance of built form and contributes to the public realm.  </w:t>
      </w:r>
    </w:p>
    <w:p w14:paraId="7F7BE18E" w14:textId="77777777" w:rsidR="00C10662" w:rsidRPr="006400A9" w:rsidRDefault="00C10662" w:rsidP="006400A9">
      <w:pPr>
        <w:pStyle w:val="Quote3"/>
        <w:numPr>
          <w:ilvl w:val="1"/>
          <w:numId w:val="5"/>
        </w:numPr>
        <w:tabs>
          <w:tab w:val="clear" w:pos="1440"/>
          <w:tab w:val="num" w:pos="2127"/>
        </w:tabs>
        <w:ind w:left="2127"/>
      </w:pPr>
      <w:r w:rsidRPr="006400A9">
        <w:t xml:space="preserve">Maximises planting opportunities adjacent to the street by excluding hard paving such as car parking, turning circles and wide driveways, and minimising basement car parking, within the front setback. </w:t>
      </w:r>
    </w:p>
    <w:p w14:paraId="4E891426" w14:textId="77777777" w:rsidR="00C10662" w:rsidRPr="006400A9" w:rsidRDefault="00C10662" w:rsidP="006400A9">
      <w:pPr>
        <w:pStyle w:val="Quote3"/>
        <w:numPr>
          <w:ilvl w:val="1"/>
          <w:numId w:val="5"/>
        </w:numPr>
        <w:tabs>
          <w:tab w:val="clear" w:pos="1440"/>
          <w:tab w:val="num" w:pos="2127"/>
        </w:tabs>
        <w:ind w:left="2127"/>
      </w:pPr>
      <w:r w:rsidRPr="006400A9">
        <w:t xml:space="preserve">Minimises hard paving throughout the site including limiting driveway lengths and widths, providing landscaping on both sides of driveways, and restricting the extent of paving within open space area. </w:t>
      </w:r>
    </w:p>
    <w:p w14:paraId="29A5B857" w14:textId="3612F95F" w:rsidR="00B2492B" w:rsidRDefault="00B2492B" w:rsidP="006400A9">
      <w:pPr>
        <w:pStyle w:val="Quote3"/>
      </w:pPr>
      <w:r>
        <w:t>Where vehicle crossovers are located and whether they are minimised in number to prevent traffic disruption, and preserve nature strips and street trees.</w:t>
      </w:r>
    </w:p>
    <w:p w14:paraId="7BD6D08A" w14:textId="46EDBE2E" w:rsidR="00C10662" w:rsidRPr="006400A9" w:rsidRDefault="00C10662" w:rsidP="006400A9">
      <w:pPr>
        <w:pStyle w:val="Quote3"/>
      </w:pPr>
      <w:r w:rsidRPr="006400A9">
        <w:t xml:space="preserve">Include significant breaks and recesses in building massing, is designed to avoid large block like structures dominating the streetscape.  </w:t>
      </w:r>
    </w:p>
    <w:p w14:paraId="7B0B3D0F" w14:textId="56167783" w:rsidR="00C10662" w:rsidRDefault="00C10662" w:rsidP="006400A9">
      <w:pPr>
        <w:pStyle w:val="Quote3"/>
      </w:pPr>
      <w:r w:rsidRPr="006400A9">
        <w:t xml:space="preserve">Whether the development minimises the impact to neighbouring properties, through suitable setbacks from adjacent secluded private open space to enable the provision of screening trees, and scaling down of building form to the adjoining properties in the General Residential Zone, where applicable. </w:t>
      </w:r>
    </w:p>
    <w:p w14:paraId="1D62A25F" w14:textId="77777777" w:rsidR="00542F42" w:rsidRDefault="00542F42" w:rsidP="006400A9">
      <w:pPr>
        <w:pStyle w:val="Quote3"/>
      </w:pPr>
      <w:r>
        <w:t xml:space="preserve">Where the dimensions of an irregular shaped or corner lot make it difficult to meet side and rear setback standards, variation to these standards will be considered where the development proposal demonstrates that it contributes to ‘garden city’ character. Specifically, whether the variation or reduction in setback allows the development to: </w:t>
      </w:r>
    </w:p>
    <w:p w14:paraId="255A3A5D" w14:textId="77777777" w:rsidR="00542F42" w:rsidRDefault="00542F42" w:rsidP="00542F42">
      <w:pPr>
        <w:pStyle w:val="Quote3"/>
        <w:numPr>
          <w:ilvl w:val="1"/>
          <w:numId w:val="5"/>
        </w:numPr>
        <w:tabs>
          <w:tab w:val="clear" w:pos="1440"/>
          <w:tab w:val="num" w:pos="2127"/>
        </w:tabs>
        <w:ind w:left="2127"/>
      </w:pPr>
      <w:r>
        <w:t xml:space="preserve">Provide sufficient and well located open space elsewhere on the site, primarily unencumbered by easements, to provide for large trees to be retained or planted within front, side and rear setbacks, and secluded open space areas. </w:t>
      </w:r>
    </w:p>
    <w:p w14:paraId="11BE9024" w14:textId="77777777" w:rsidR="00542F42" w:rsidRDefault="00542F42" w:rsidP="00542F42">
      <w:pPr>
        <w:pStyle w:val="Quote3"/>
        <w:numPr>
          <w:ilvl w:val="1"/>
          <w:numId w:val="5"/>
        </w:numPr>
        <w:tabs>
          <w:tab w:val="clear" w:pos="1440"/>
          <w:tab w:val="num" w:pos="2127"/>
        </w:tabs>
        <w:ind w:left="2127"/>
      </w:pPr>
      <w:r>
        <w:t xml:space="preserve">Retain or plant vegetation in the front setback that softens the appearance of built form and contributes to the public realm. </w:t>
      </w:r>
    </w:p>
    <w:p w14:paraId="2A5C270F" w14:textId="34F24412" w:rsidR="00542F42" w:rsidRDefault="00255204" w:rsidP="00542F42">
      <w:pPr>
        <w:pStyle w:val="Quote3"/>
        <w:numPr>
          <w:ilvl w:val="1"/>
          <w:numId w:val="5"/>
        </w:numPr>
        <w:tabs>
          <w:tab w:val="clear" w:pos="1440"/>
          <w:tab w:val="num" w:pos="2127"/>
        </w:tabs>
        <w:ind w:left="2127"/>
      </w:pPr>
      <w:r>
        <w:rPr>
          <w:noProof/>
        </w:rPr>
        <w:lastRenderedPageBreak/>
        <w:drawing>
          <wp:anchor distT="0" distB="0" distL="114300" distR="114300" simplePos="0" relativeHeight="251664384" behindDoc="1" locked="0" layoutInCell="1" allowOverlap="1" wp14:anchorId="4D2A234E" wp14:editId="6721DEDB">
            <wp:simplePos x="0" y="0"/>
            <wp:positionH relativeFrom="column">
              <wp:posOffset>5183505</wp:posOffset>
            </wp:positionH>
            <wp:positionV relativeFrom="paragraph">
              <wp:posOffset>8459470</wp:posOffset>
            </wp:positionV>
            <wp:extent cx="1080000" cy="1080000"/>
            <wp:effectExtent l="0" t="0" r="6350" b="6350"/>
            <wp:wrapNone/>
            <wp:docPr id="9" name="VCAT Seal5"/>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42F42">
        <w:t xml:space="preserve">Minimise the impact to neighbouring properties, through suitable setbacks from adjacent secluded private open space to enable the provision of screening trees, and scaling down of building form to the adjoining properties. </w:t>
      </w:r>
    </w:p>
    <w:p w14:paraId="36F3CACF" w14:textId="5E136D7C" w:rsidR="00542F42" w:rsidRPr="006400A9" w:rsidRDefault="00542F42" w:rsidP="00542F42">
      <w:pPr>
        <w:pStyle w:val="Quote3"/>
        <w:numPr>
          <w:ilvl w:val="1"/>
          <w:numId w:val="5"/>
        </w:numPr>
        <w:tabs>
          <w:tab w:val="clear" w:pos="1440"/>
          <w:tab w:val="num" w:pos="2127"/>
        </w:tabs>
        <w:ind w:left="2127"/>
      </w:pPr>
      <w:r>
        <w:t>Establish setbacks that are appropriate taking into account the shape of the lot and the setbacks of adjoining properties.</w:t>
      </w:r>
    </w:p>
    <w:p w14:paraId="1CDE59D1" w14:textId="77777777" w:rsidR="007A3EBD" w:rsidRDefault="006A200D" w:rsidP="00FC78BD">
      <w:pPr>
        <w:pStyle w:val="Para1"/>
      </w:pPr>
      <w:r>
        <w:t xml:space="preserve">Clause 32.07 does not include a purpose that ties development to existing character, rather, a new character is encouraged and facilitated.  Varied clause 55 standards are part of this.  </w:t>
      </w:r>
      <w:r w:rsidR="002B6A13">
        <w:t xml:space="preserve">It </w:t>
      </w:r>
      <w:r w:rsidR="0043348F">
        <w:t>appears to be</w:t>
      </w:r>
      <w:r w:rsidR="002B6A13">
        <w:t xml:space="preserve"> common ground</w:t>
      </w:r>
      <w:r w:rsidR="00F84A3D">
        <w:t xml:space="preserve"> between the parties</w:t>
      </w:r>
      <w:r w:rsidR="002B6A13">
        <w:t xml:space="preserve"> that the proposal meets</w:t>
      </w:r>
      <w:r w:rsidR="001038D1">
        <w:t xml:space="preserve"> </w:t>
      </w:r>
      <w:r w:rsidR="002B6A13">
        <w:t>the varied standards</w:t>
      </w:r>
      <w:r w:rsidR="0043348F">
        <w:t>.</w:t>
      </w:r>
      <w:r w:rsidR="007A3EBD">
        <w:t xml:space="preserve"> </w:t>
      </w:r>
      <w:r w:rsidR="0043348F">
        <w:t xml:space="preserve"> I give this </w:t>
      </w:r>
      <w:r w:rsidR="002B6A13">
        <w:t xml:space="preserve">significant weight in assessing the proposal’s acceptability including its response to clause 32.07, RGZ3 and preferred character.  </w:t>
      </w:r>
    </w:p>
    <w:p w14:paraId="5579CE47" w14:textId="12853F69" w:rsidR="006A200D" w:rsidRDefault="002B6A13" w:rsidP="00FC78BD">
      <w:pPr>
        <w:pStyle w:val="Para1"/>
      </w:pPr>
      <w:r>
        <w:t>T</w:t>
      </w:r>
      <w:r w:rsidR="006A200D">
        <w:t>he</w:t>
      </w:r>
      <w:r w:rsidR="00C31C66">
        <w:t xml:space="preserve"> area’s</w:t>
      </w:r>
      <w:r w:rsidR="006A200D">
        <w:t xml:space="preserve"> preferred future character statement is:</w:t>
      </w:r>
      <w:r w:rsidR="006A200D">
        <w:rPr>
          <w:rStyle w:val="FootnoteReference"/>
        </w:rPr>
        <w:footnoteReference w:id="5"/>
      </w:r>
      <w:r w:rsidR="006A200D">
        <w:t xml:space="preserve"> </w:t>
      </w:r>
    </w:p>
    <w:p w14:paraId="3CEB519C" w14:textId="77777777" w:rsidR="006A200D" w:rsidRPr="00AD5A29" w:rsidRDefault="006A200D" w:rsidP="006A200D">
      <w:pPr>
        <w:pStyle w:val="Quote1"/>
        <w:ind w:left="1701"/>
      </w:pPr>
      <w:r w:rsidRPr="00AD5A29">
        <w:t xml:space="preserve">The scale of new residential development will generally comprise larger footprint apartment development of a high-quality design and finish. Some infill town house and unit development will also occur. </w:t>
      </w:r>
    </w:p>
    <w:p w14:paraId="23BAB795" w14:textId="7150CB0C" w:rsidR="00DB5731" w:rsidRDefault="006A200D" w:rsidP="00B2492B">
      <w:pPr>
        <w:pStyle w:val="Quote1"/>
        <w:ind w:left="1701"/>
      </w:pPr>
      <w:r w:rsidRPr="00AD5A29">
        <w:t>Where possible on larger sites, developments will be multi-level, and set in open gardens. Although setbacks from all boundaries will be less than is common in other parts of Monash, the developments will ensure the incorporation of well-maintained landscaping to address the garden city character</w:t>
      </w:r>
      <w:r w:rsidR="00DB5731">
        <w:t>.</w:t>
      </w:r>
    </w:p>
    <w:p w14:paraId="0AC7450B" w14:textId="46B8E4CD" w:rsidR="007238E8" w:rsidRPr="008B0D6B" w:rsidRDefault="007238E8" w:rsidP="007238E8">
      <w:pPr>
        <w:pStyle w:val="Heading3"/>
      </w:pPr>
      <w:r>
        <w:t>Clayton Activity Centre Structure Plan</w:t>
      </w:r>
    </w:p>
    <w:p w14:paraId="072AEB8F" w14:textId="2C1BCD76" w:rsidR="007238E8" w:rsidRDefault="007238E8" w:rsidP="007238E8">
      <w:pPr>
        <w:pStyle w:val="Para1"/>
      </w:pPr>
      <w:r>
        <w:t xml:space="preserve">Mr Turner </w:t>
      </w:r>
      <w:r w:rsidR="00A6178E">
        <w:t>refers to the adopted Clayton Activity Centre Structure Plan (January 2020)</w:t>
      </w:r>
      <w:r w:rsidR="00A24727">
        <w:t xml:space="preserve"> [</w:t>
      </w:r>
      <w:r w:rsidR="00A24727" w:rsidRPr="00A24727">
        <w:rPr>
          <w:b/>
          <w:bCs/>
        </w:rPr>
        <w:t>Plan</w:t>
      </w:r>
      <w:r w:rsidR="00A24727">
        <w:t>]</w:t>
      </w:r>
      <w:r w:rsidR="00A6178E">
        <w:t xml:space="preserve">.  The subject land is in a residential intensification area with a preferred building height of 3-5 storeys/10-16 metres.  Surrounding land, including the GRZ6 area on the east side of Kanooka Grove, is part of </w:t>
      </w:r>
      <w:r w:rsidR="00A24727">
        <w:t>that area too</w:t>
      </w:r>
      <w:r w:rsidR="00A6178E">
        <w:t>, with preferred heights</w:t>
      </w:r>
      <w:r w:rsidR="00A24727">
        <w:t xml:space="preserve"> below</w:t>
      </w:r>
      <w:r w:rsidR="00AD6DE5">
        <w:t xml:space="preserve"> (in storeys)</w:t>
      </w:r>
      <w:r w:rsidR="00A6178E">
        <w:t>:</w:t>
      </w:r>
    </w:p>
    <w:p w14:paraId="4D6D2F08" w14:textId="7AA9A974" w:rsidR="00A6178E" w:rsidRDefault="00742B8C" w:rsidP="00742B8C">
      <w:pPr>
        <w:pStyle w:val="Para1"/>
        <w:numPr>
          <w:ilvl w:val="0"/>
          <w:numId w:val="0"/>
        </w:numPr>
        <w:ind w:left="567" w:hanging="567"/>
        <w:jc w:val="center"/>
      </w:pPr>
      <w:r>
        <w:rPr>
          <w:noProof/>
        </w:rPr>
        <mc:AlternateContent>
          <mc:Choice Requires="wps">
            <w:drawing>
              <wp:anchor distT="0" distB="0" distL="114300" distR="114300" simplePos="0" relativeHeight="251659264" behindDoc="0" locked="0" layoutInCell="1" allowOverlap="1" wp14:anchorId="59D6CE9C" wp14:editId="11A1ECCA">
                <wp:simplePos x="0" y="0"/>
                <wp:positionH relativeFrom="column">
                  <wp:posOffset>4189095</wp:posOffset>
                </wp:positionH>
                <wp:positionV relativeFrom="paragraph">
                  <wp:posOffset>645160</wp:posOffset>
                </wp:positionV>
                <wp:extent cx="914400" cy="411480"/>
                <wp:effectExtent l="1200150" t="0" r="19050" b="26670"/>
                <wp:wrapNone/>
                <wp:docPr id="3" name="Speech Bubble: Rectangle with Corners Rounded 3"/>
                <wp:cNvGraphicFramePr/>
                <a:graphic xmlns:a="http://schemas.openxmlformats.org/drawingml/2006/main">
                  <a:graphicData uri="http://schemas.microsoft.com/office/word/2010/wordprocessingShape">
                    <wps:wsp>
                      <wps:cNvSpPr/>
                      <wps:spPr>
                        <a:xfrm>
                          <a:off x="0" y="0"/>
                          <a:ext cx="914400" cy="411480"/>
                        </a:xfrm>
                        <a:prstGeom prst="wedgeRoundRectCallout">
                          <a:avLst>
                            <a:gd name="adj1" fmla="val -175484"/>
                            <a:gd name="adj2" fmla="val 39327"/>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D31056" w14:textId="0C05C280" w:rsidR="00DC2ADF" w:rsidRPr="007A3EBD" w:rsidRDefault="00DC2ADF" w:rsidP="00742B8C">
                            <w:pPr>
                              <w:jc w:val="center"/>
                              <w:rPr>
                                <w:color w:val="FF0000"/>
                                <w:sz w:val="20"/>
                                <w:szCs w:val="20"/>
                                <w:lang w:val="en-US"/>
                              </w:rPr>
                            </w:pPr>
                            <w:r w:rsidRPr="007A3EBD">
                              <w:rPr>
                                <w:color w:val="FF0000"/>
                                <w:sz w:val="20"/>
                                <w:szCs w:val="20"/>
                                <w:lang w:val="en-US"/>
                              </w:rPr>
                              <w:t>Subject land</w:t>
                            </w:r>
                            <w:r w:rsidR="007A3EBD">
                              <w:rPr>
                                <w:color w:val="FF0000"/>
                                <w:sz w:val="20"/>
                                <w:szCs w:val="20"/>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D6CE9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 o:spid="_x0000_s1026" type="#_x0000_t62" style="position:absolute;left:0;text-align:left;margin-left:329.85pt;margin-top:50.8pt;width:1in;height:32.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" adj="-27105,19295" filled="f" strokecolor="red" strokeweight="1pt">
                <v:textbox>
                  <w:txbxContent>
                    <w:p w14:paraId="3CD31056" w14:textId="0C05C280" w:rsidR="00DC2ADF" w:rsidRPr="007A3EBD" w:rsidRDefault="00DC2ADF" w:rsidP="00742B8C">
                      <w:pPr>
                        <w:jc w:val="center"/>
                        <w:rPr>
                          <w:color w:val="FF0000"/>
                          <w:sz w:val="20"/>
                          <w:szCs w:val="20"/>
                          <w:lang w:val="en-US"/>
                        </w:rPr>
                      </w:pPr>
                      <w:r w:rsidRPr="007A3EBD">
                        <w:rPr>
                          <w:color w:val="FF0000"/>
                          <w:sz w:val="20"/>
                          <w:szCs w:val="20"/>
                          <w:lang w:val="en-US"/>
                        </w:rPr>
                        <w:t>Subject land</w:t>
                      </w:r>
                      <w:r w:rsidR="007A3EBD">
                        <w:rPr>
                          <w:color w:val="FF0000"/>
                          <w:sz w:val="20"/>
                          <w:szCs w:val="20"/>
                          <w:lang w:val="en-US"/>
                        </w:rPr>
                        <w:t xml:space="preserve"> </w:t>
                      </w:r>
                    </w:p>
                  </w:txbxContent>
                </v:textbox>
              </v:shape>
            </w:pict>
          </mc:Fallback>
        </mc:AlternateContent>
      </w:r>
      <w:r>
        <w:rPr>
          <w:noProof/>
        </w:rPr>
        <w:drawing>
          <wp:inline distT="0" distB="0" distL="0" distR="0" wp14:anchorId="647CC2CC" wp14:editId="780B2DE1">
            <wp:extent cx="2721935" cy="207993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8090" cy="2130488"/>
                    </a:xfrm>
                    <a:prstGeom prst="rect">
                      <a:avLst/>
                    </a:prstGeom>
                  </pic:spPr>
                </pic:pic>
              </a:graphicData>
            </a:graphic>
          </wp:inline>
        </w:drawing>
      </w:r>
    </w:p>
    <w:p w14:paraId="5B2CE5F1" w14:textId="6374EF78" w:rsidR="008147DE" w:rsidRPr="008147DE" w:rsidRDefault="00742B8C" w:rsidP="00DC2ADF">
      <w:pPr>
        <w:pStyle w:val="Para1"/>
      </w:pPr>
      <w:r>
        <w:t xml:space="preserve">The </w:t>
      </w:r>
      <w:r w:rsidR="008D69BE">
        <w:t>Plan says the</w:t>
      </w:r>
      <w:r>
        <w:t xml:space="preserve"> application of the RGZ</w:t>
      </w:r>
      <w:r w:rsidR="008D69BE">
        <w:t xml:space="preserve"> will be expanded</w:t>
      </w:r>
      <w:r>
        <w:t xml:space="preserve">.  </w:t>
      </w:r>
      <w:r w:rsidR="00A6178E">
        <w:t xml:space="preserve">I note the precinct overview refers to a variety of housing types including </w:t>
      </w:r>
      <w:r w:rsidR="008D69BE">
        <w:t>“</w:t>
      </w:r>
      <w:r w:rsidR="005A20F0" w:rsidRPr="00F028DE">
        <w:rPr>
          <w:i/>
          <w:iCs/>
        </w:rPr>
        <w:t xml:space="preserve">low scale </w:t>
      </w:r>
      <w:r w:rsidR="00A6178E" w:rsidRPr="00F028DE">
        <w:rPr>
          <w:i/>
          <w:iCs/>
        </w:rPr>
        <w:t>apartments and townhouses</w:t>
      </w:r>
      <w:r w:rsidR="008D69BE" w:rsidRPr="00F028DE">
        <w:rPr>
          <w:i/>
          <w:iCs/>
        </w:rPr>
        <w:t xml:space="preserve"> with landscaped front gardens sit comfortably next to detached dwellings and define a high quality and contemporary character for the precinct</w:t>
      </w:r>
      <w:r w:rsidR="008D69BE">
        <w:t>”</w:t>
      </w:r>
      <w:r w:rsidR="00A6178E">
        <w:t>.</w:t>
      </w:r>
      <w:r w:rsidR="005A20F0">
        <w:t xml:space="preserve">  </w:t>
      </w:r>
      <w:r w:rsidR="008D69BE">
        <w:t>The</w:t>
      </w:r>
      <w:r w:rsidR="005A20F0">
        <w:t xml:space="preserve"> overview</w:t>
      </w:r>
      <w:r w:rsidR="00084C68">
        <w:t xml:space="preserve">, and </w:t>
      </w:r>
      <w:r w:rsidR="008D69BE">
        <w:t xml:space="preserve">built form and development </w:t>
      </w:r>
      <w:r w:rsidR="00255204">
        <w:rPr>
          <w:noProof/>
        </w:rPr>
        <w:lastRenderedPageBreak/>
        <w:drawing>
          <wp:anchor distT="0" distB="0" distL="114300" distR="114300" simplePos="0" relativeHeight="251665408" behindDoc="1" locked="0" layoutInCell="1" allowOverlap="1" wp14:anchorId="1813B267" wp14:editId="11975FB7">
            <wp:simplePos x="0" y="0"/>
            <wp:positionH relativeFrom="column">
              <wp:posOffset>5183505</wp:posOffset>
            </wp:positionH>
            <wp:positionV relativeFrom="paragraph">
              <wp:posOffset>8459470</wp:posOffset>
            </wp:positionV>
            <wp:extent cx="1080000" cy="1080000"/>
            <wp:effectExtent l="0" t="0" r="6350" b="6350"/>
            <wp:wrapNone/>
            <wp:docPr id="10" name="VCAT Seal6"/>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5A20F0">
        <w:t>requirements including building heights</w:t>
      </w:r>
      <w:r w:rsidR="00084C68">
        <w:t>,</w:t>
      </w:r>
      <w:r w:rsidR="008D69BE">
        <w:t xml:space="preserve"> need to be read together</w:t>
      </w:r>
      <w:r w:rsidR="007A3EBD">
        <w:t>.  S</w:t>
      </w:r>
      <w:r w:rsidR="008D69BE">
        <w:t xml:space="preserve">tatutory implementation of the Plan </w:t>
      </w:r>
      <w:r w:rsidR="00A24727">
        <w:t xml:space="preserve">must proceed </w:t>
      </w:r>
      <w:r w:rsidR="008D69BE">
        <w:t>through Ministerial authorisation and any independent Panel process</w:t>
      </w:r>
      <w:r w:rsidR="007A3EBD">
        <w:t xml:space="preserve"> and hence the Plan cannot be determinative</w:t>
      </w:r>
      <w:r w:rsidR="00A24727">
        <w:t>.</w:t>
      </w:r>
      <w:r w:rsidR="00F028DE">
        <w:t xml:space="preserve">  It is</w:t>
      </w:r>
      <w:r w:rsidR="007A3EBD">
        <w:t xml:space="preserve">, however, </w:t>
      </w:r>
      <w:r w:rsidR="00F028DE">
        <w:t xml:space="preserve">relevant to appreciate </w:t>
      </w:r>
      <w:r w:rsidR="007A3EBD">
        <w:t xml:space="preserve">and understand </w:t>
      </w:r>
      <w:r w:rsidR="00F028DE">
        <w:t>the strategic directions being pursued</w:t>
      </w:r>
      <w:r w:rsidR="007A3EBD">
        <w:t xml:space="preserve">.  </w:t>
      </w:r>
      <w:r w:rsidR="00F028DE">
        <w:t>I note that an exclusively apartment outcome is not part of the vision</w:t>
      </w:r>
      <w:r w:rsidR="007A3EBD">
        <w:t xml:space="preserve"> as currently cited</w:t>
      </w:r>
      <w:r w:rsidR="008147DE" w:rsidRPr="00F028DE">
        <w:rPr>
          <w:color w:val="000000" w:themeColor="text1"/>
          <w:shd w:val="clear" w:color="auto" w:fill="FFFFFF"/>
        </w:rPr>
        <w:t>.</w:t>
      </w:r>
      <w:r w:rsidR="005A20F0" w:rsidRPr="00F028DE">
        <w:rPr>
          <w:color w:val="000000" w:themeColor="text1"/>
          <w:shd w:val="clear" w:color="auto" w:fill="FFFFFF"/>
        </w:rPr>
        <w:t xml:space="preserve"> </w:t>
      </w:r>
    </w:p>
    <w:p w14:paraId="079C8A4E" w14:textId="4FFC33F5" w:rsidR="005A20F0" w:rsidRPr="008B0D6B" w:rsidRDefault="007238E8" w:rsidP="005A20F0">
      <w:pPr>
        <w:pStyle w:val="Para1"/>
      </w:pPr>
      <w:r>
        <w:rPr>
          <w:color w:val="000000" w:themeColor="text1"/>
          <w:shd w:val="clear" w:color="auto" w:fill="FFFFFF"/>
        </w:rPr>
        <w:t xml:space="preserve">Mr Hocking submits the </w:t>
      </w:r>
      <w:r w:rsidR="00AD6DE5">
        <w:rPr>
          <w:color w:val="000000" w:themeColor="text1"/>
          <w:shd w:val="clear" w:color="auto" w:fill="FFFFFF"/>
        </w:rPr>
        <w:t>P</w:t>
      </w:r>
      <w:r>
        <w:rPr>
          <w:color w:val="000000" w:themeColor="text1"/>
          <w:shd w:val="clear" w:color="auto" w:fill="FFFFFF"/>
        </w:rPr>
        <w:t>lan is relevant and carries weight.</w:t>
      </w:r>
    </w:p>
    <w:p w14:paraId="20954E42" w14:textId="77777777" w:rsidR="007238E8" w:rsidRPr="008B0D6B" w:rsidRDefault="007238E8" w:rsidP="007238E8">
      <w:pPr>
        <w:pStyle w:val="Heading2"/>
      </w:pPr>
      <w:r>
        <w:rPr>
          <w:shd w:val="clear" w:color="auto" w:fill="FFFFFF"/>
        </w:rPr>
        <w:t>TRIBUNAL DECISIONS ADDRESSING THE STRATEGIC CONTEXT</w:t>
      </w:r>
    </w:p>
    <w:p w14:paraId="1AE80EA6" w14:textId="5A873EFB" w:rsidR="007238E8" w:rsidRPr="008B0D6B" w:rsidRDefault="007238E8" w:rsidP="007238E8">
      <w:pPr>
        <w:pStyle w:val="Para1"/>
      </w:pPr>
      <w:r>
        <w:rPr>
          <w:color w:val="000000" w:themeColor="text1"/>
          <w:shd w:val="clear" w:color="auto" w:fill="FFFFFF"/>
        </w:rPr>
        <w:t xml:space="preserve">Mr Hocking refers to a number of Tribunal decisions in relation to the strategic context that </w:t>
      </w:r>
      <w:r w:rsidR="00AD6DE5">
        <w:rPr>
          <w:color w:val="000000" w:themeColor="text1"/>
          <w:shd w:val="clear" w:color="auto" w:fill="FFFFFF"/>
        </w:rPr>
        <w:t>applies in this case</w:t>
      </w:r>
      <w:r>
        <w:rPr>
          <w:color w:val="000000" w:themeColor="text1"/>
          <w:shd w:val="clear" w:color="auto" w:fill="FFFFFF"/>
        </w:rPr>
        <w:t xml:space="preserve">.  I have considered these </w:t>
      </w:r>
      <w:r w:rsidR="00AD6DE5">
        <w:rPr>
          <w:color w:val="000000" w:themeColor="text1"/>
          <w:shd w:val="clear" w:color="auto" w:fill="FFFFFF"/>
        </w:rPr>
        <w:t xml:space="preserve">decisions </w:t>
      </w:r>
      <w:r>
        <w:rPr>
          <w:color w:val="000000" w:themeColor="text1"/>
          <w:shd w:val="clear" w:color="auto" w:fill="FFFFFF"/>
        </w:rPr>
        <w:t>and make the following observations and findings with respect to the principles to which they refer and their utility in relation to the decision I must make in this proceeding.</w:t>
      </w:r>
    </w:p>
    <w:p w14:paraId="1CCA406F" w14:textId="77777777" w:rsidR="00153FBE" w:rsidRPr="00153FBE" w:rsidRDefault="00153FBE" w:rsidP="008B0D6B">
      <w:pPr>
        <w:pStyle w:val="Para1"/>
      </w:pPr>
      <w:r>
        <w:t>Tribunal d</w:t>
      </w:r>
      <w:r w:rsidR="00AB3F1F">
        <w:t xml:space="preserve">ecisions in </w:t>
      </w:r>
      <w:r w:rsidR="00AB3F1F" w:rsidRPr="00AB3F1F">
        <w:rPr>
          <w:i/>
          <w:iCs/>
        </w:rPr>
        <w:t>Beattie</w:t>
      </w:r>
      <w:r w:rsidR="00AB3F1F">
        <w:rPr>
          <w:rStyle w:val="FootnoteReference"/>
        </w:rPr>
        <w:footnoteReference w:id="6"/>
      </w:r>
      <w:r w:rsidR="005A2F39">
        <w:rPr>
          <w:i/>
          <w:iCs/>
        </w:rPr>
        <w:t xml:space="preserve"> </w:t>
      </w:r>
      <w:r w:rsidR="005A2F39" w:rsidRPr="005A2F39">
        <w:t>and</w:t>
      </w:r>
      <w:r w:rsidR="005A2F39">
        <w:rPr>
          <w:i/>
          <w:iCs/>
        </w:rPr>
        <w:t xml:space="preserve"> </w:t>
      </w:r>
      <w:r w:rsidR="00AB3F1F" w:rsidRPr="00696EF0">
        <w:rPr>
          <w:i/>
        </w:rPr>
        <w:t>HLP International Pty Ltd</w:t>
      </w:r>
      <w:r w:rsidR="00AB3F1F">
        <w:rPr>
          <w:rStyle w:val="FootnoteReference"/>
        </w:rPr>
        <w:footnoteReference w:id="7"/>
      </w:r>
      <w:r>
        <w:rPr>
          <w:i/>
        </w:rPr>
        <w:t>:</w:t>
      </w:r>
    </w:p>
    <w:p w14:paraId="5BF4C240" w14:textId="67CDBAE1" w:rsidR="00153FBE" w:rsidRDefault="00153FBE" w:rsidP="00153FBE">
      <w:pPr>
        <w:pStyle w:val="Para5"/>
      </w:pPr>
      <w:r>
        <w:t>M</w:t>
      </w:r>
      <w:r w:rsidR="00AB3F1F">
        <w:t xml:space="preserve">ake the point </w:t>
      </w:r>
      <w:r w:rsidR="00F90AF9">
        <w:t xml:space="preserve">that I have already made that a new character is being facilitated in the </w:t>
      </w:r>
      <w:r>
        <w:t xml:space="preserve">RGZ rather than </w:t>
      </w:r>
      <w:r w:rsidR="00F90AF9">
        <w:t xml:space="preserve">maintenance of an </w:t>
      </w:r>
      <w:r w:rsidR="00AB3F1F">
        <w:t xml:space="preserve">existing character.  The existing character is factually-based.  For example, the character area described in </w:t>
      </w:r>
      <w:r w:rsidR="00AB3F1F" w:rsidRPr="00153FBE">
        <w:rPr>
          <w:i/>
          <w:iCs/>
        </w:rPr>
        <w:t>Beattie</w:t>
      </w:r>
      <w:r w:rsidR="00AB3F1F">
        <w:t xml:space="preserve"> was strongly represented by the original dwelling stock</w:t>
      </w:r>
      <w:r>
        <w:t xml:space="preserve"> </w:t>
      </w:r>
      <w:r w:rsidR="009A43DE">
        <w:t>while</w:t>
      </w:r>
      <w:r>
        <w:t xml:space="preserve"> the subject land in the current proceeding</w:t>
      </w:r>
      <w:r w:rsidR="009A43DE">
        <w:t xml:space="preserve"> is in an area where single storey and two storey </w:t>
      </w:r>
      <w:r>
        <w:t>multi-unit development has occurred</w:t>
      </w:r>
      <w:r w:rsidR="009A43DE">
        <w:t xml:space="preserve"> historically and more recently</w:t>
      </w:r>
      <w:r w:rsidR="00AB3F1F">
        <w:t xml:space="preserve">.  </w:t>
      </w:r>
    </w:p>
    <w:p w14:paraId="00CDBE28" w14:textId="25493F32" w:rsidR="00AB3F1F" w:rsidRDefault="009A43DE" w:rsidP="00153FBE">
      <w:pPr>
        <w:pStyle w:val="Para5"/>
      </w:pPr>
      <w:r>
        <w:t>Are</w:t>
      </w:r>
      <w:r w:rsidR="00AB3F1F">
        <w:t xml:space="preserve"> directed to circumstances where there has not been substantial change to date and the older built form cannot be taken as the be</w:t>
      </w:r>
      <w:r w:rsidR="006C659E">
        <w:t>nch</w:t>
      </w:r>
      <w:r w:rsidR="00AB3F1F">
        <w:t xml:space="preserve">mark.  </w:t>
      </w:r>
      <w:r>
        <w:t>In other places, the e</w:t>
      </w:r>
      <w:r w:rsidR="00AB3F1F">
        <w:t xml:space="preserve">xisting character </w:t>
      </w:r>
      <w:r>
        <w:t>may</w:t>
      </w:r>
      <w:r w:rsidR="00AB3F1F">
        <w:t xml:space="preserve"> represent what the scheme is seeking</w:t>
      </w:r>
      <w:r>
        <w:t xml:space="preserve"> as a consequence of redevelopment that aligns with the scheme’s directions through </w:t>
      </w:r>
      <w:r w:rsidR="00AB3F1F">
        <w:t xml:space="preserve">policy and zone objectives.  </w:t>
      </w:r>
    </w:p>
    <w:p w14:paraId="7F31B827" w14:textId="58B640BD" w:rsidR="00AB3F1F" w:rsidRDefault="00153FBE" w:rsidP="00153FBE">
      <w:pPr>
        <w:pStyle w:val="Para5"/>
      </w:pPr>
      <w:r>
        <w:t>Needed</w:t>
      </w:r>
      <w:r w:rsidR="00AB3F1F">
        <w:t xml:space="preserve"> to reconcile the purpose of the RGZ and objectives in RGZ3 with local policy, pre-dating Amendment C125 Part 2.  This matter has since been resolved with the gazettal of that Amendment.</w:t>
      </w:r>
    </w:p>
    <w:p w14:paraId="4440175E" w14:textId="77777777" w:rsidR="00153FBE" w:rsidRDefault="00153FBE" w:rsidP="00153FBE">
      <w:pPr>
        <w:pStyle w:val="Para5"/>
      </w:pPr>
      <w:r>
        <w:t>R</w:t>
      </w:r>
      <w:r w:rsidR="00F90AF9">
        <w:t>efer to the question of building typology and the fact that infill townhouse development is part of the preferred character.</w:t>
      </w:r>
      <w:r w:rsidR="005A2F39">
        <w:t xml:space="preserve">  </w:t>
      </w:r>
    </w:p>
    <w:p w14:paraId="21466655" w14:textId="016AF725" w:rsidR="005A2F39" w:rsidRDefault="00153FBE" w:rsidP="008B0D6B">
      <w:pPr>
        <w:pStyle w:val="Para1"/>
      </w:pPr>
      <w:r>
        <w:t>More recent d</w:t>
      </w:r>
      <w:r w:rsidR="005A2F39">
        <w:t xml:space="preserve">ecisions in </w:t>
      </w:r>
      <w:r w:rsidR="005A2F39" w:rsidRPr="00721E5F">
        <w:rPr>
          <w:i/>
          <w:iCs/>
        </w:rPr>
        <w:t>Yang</w:t>
      </w:r>
      <w:r w:rsidR="005C5646">
        <w:rPr>
          <w:rStyle w:val="FootnoteReference"/>
          <w:color w:val="000000" w:themeColor="text1"/>
          <w:shd w:val="clear" w:color="auto" w:fill="FFFFFF"/>
        </w:rPr>
        <w:footnoteReference w:id="8"/>
      </w:r>
      <w:r w:rsidR="005C5646">
        <w:rPr>
          <w:i/>
          <w:iCs/>
        </w:rPr>
        <w:t xml:space="preserve"> </w:t>
      </w:r>
      <w:r w:rsidR="005A2F39">
        <w:t xml:space="preserve">and </w:t>
      </w:r>
      <w:r w:rsidR="005A2F39" w:rsidRPr="00542F42">
        <w:rPr>
          <w:i/>
          <w:iCs/>
        </w:rPr>
        <w:t>Papermite</w:t>
      </w:r>
      <w:r w:rsidR="008B0D6B">
        <w:rPr>
          <w:rStyle w:val="FootnoteReference"/>
        </w:rPr>
        <w:footnoteReference w:id="9"/>
      </w:r>
      <w:r w:rsidR="005A2F39">
        <w:t xml:space="preserve"> reach the same conclusion that apartments are not the only form of development </w:t>
      </w:r>
      <w:r w:rsidR="007A3EBD">
        <w:t>sought</w:t>
      </w:r>
      <w:r w:rsidR="005A2F39">
        <w:t xml:space="preserve"> for these locations.  </w:t>
      </w:r>
      <w:r w:rsidR="00036B56">
        <w:t>The decision in</w:t>
      </w:r>
      <w:r w:rsidR="005A2F39">
        <w:t xml:space="preserve"> </w:t>
      </w:r>
      <w:r w:rsidR="005A2F39" w:rsidRPr="003D37E0">
        <w:rPr>
          <w:i/>
          <w:iCs/>
        </w:rPr>
        <w:t>Papermite</w:t>
      </w:r>
      <w:r w:rsidR="0094776C">
        <w:rPr>
          <w:i/>
          <w:iCs/>
        </w:rPr>
        <w:t>,</w:t>
      </w:r>
      <w:r w:rsidR="008B0D6B">
        <w:rPr>
          <w:rStyle w:val="FootnoteReference"/>
        </w:rPr>
        <w:footnoteReference w:id="10"/>
      </w:r>
      <w:r w:rsidR="005A2F39">
        <w:t xml:space="preserve"> </w:t>
      </w:r>
      <w:r w:rsidR="00036B56">
        <w:t xml:space="preserve">post-dates the gazettal of Amendment C125 Part 2.  </w:t>
      </w:r>
      <w:r w:rsidR="00721E5F">
        <w:t>Member Glynn found</w:t>
      </w:r>
      <w:r w:rsidR="005A2F39">
        <w:t>:</w:t>
      </w:r>
    </w:p>
    <w:p w14:paraId="04C8786B" w14:textId="69F14A1C" w:rsidR="00AB3F1F" w:rsidRDefault="003D37E0" w:rsidP="003D37E0">
      <w:pPr>
        <w:pStyle w:val="Quote1"/>
      </w:pPr>
      <w:r>
        <w:t>The policy at clause 22.01 also encourages the consolidation of sites to achieve residential intensification where this is ‘specifically encouraged by the relevant zoning schedule’.  This site is in RGZ3 where no such specific encouragement is specified.</w:t>
      </w:r>
    </w:p>
    <w:p w14:paraId="658C2A3A" w14:textId="61696B02" w:rsidR="00944F5A" w:rsidRDefault="00255204" w:rsidP="00944F5A">
      <w:pPr>
        <w:pStyle w:val="Para1"/>
      </w:pPr>
      <w:r>
        <w:rPr>
          <w:noProof/>
        </w:rPr>
        <w:lastRenderedPageBreak/>
        <w:drawing>
          <wp:anchor distT="0" distB="0" distL="114300" distR="114300" simplePos="0" relativeHeight="251666432" behindDoc="1" locked="0" layoutInCell="1" allowOverlap="1" wp14:anchorId="243B124E" wp14:editId="10E82C3A">
            <wp:simplePos x="0" y="0"/>
            <wp:positionH relativeFrom="column">
              <wp:posOffset>5183505</wp:posOffset>
            </wp:positionH>
            <wp:positionV relativeFrom="paragraph">
              <wp:posOffset>8459470</wp:posOffset>
            </wp:positionV>
            <wp:extent cx="1080000" cy="1080000"/>
            <wp:effectExtent l="0" t="0" r="6350" b="6350"/>
            <wp:wrapNone/>
            <wp:docPr id="11" name="VCAT Seal7"/>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D37E0">
        <w:t xml:space="preserve">My recent </w:t>
      </w:r>
      <w:r w:rsidR="00944F5A">
        <w:t xml:space="preserve">decision in </w:t>
      </w:r>
      <w:r w:rsidR="00944F5A" w:rsidRPr="003D37E0">
        <w:rPr>
          <w:i/>
          <w:iCs/>
        </w:rPr>
        <w:t>Wang</w:t>
      </w:r>
      <w:r w:rsidR="003D37E0">
        <w:rPr>
          <w:i/>
          <w:iCs/>
        </w:rPr>
        <w:t xml:space="preserve"> </w:t>
      </w:r>
      <w:r w:rsidR="003D37E0" w:rsidRPr="003D37E0">
        <w:t>makes a similar/relate</w:t>
      </w:r>
      <w:r w:rsidR="00153FBE">
        <w:t>d</w:t>
      </w:r>
      <w:r w:rsidR="003D37E0" w:rsidRPr="003D37E0">
        <w:t xml:space="preserve"> finding</w:t>
      </w:r>
      <w:r w:rsidR="003D37E0">
        <w:rPr>
          <w:i/>
          <w:iCs/>
        </w:rPr>
        <w:t>:</w:t>
      </w:r>
      <w:r w:rsidR="00944F5A">
        <w:rPr>
          <w:rStyle w:val="FootnoteReference"/>
        </w:rPr>
        <w:footnoteReference w:id="11"/>
      </w:r>
      <w:r w:rsidR="00944F5A">
        <w:t xml:space="preserve"> </w:t>
      </w:r>
    </w:p>
    <w:p w14:paraId="4D3CDF6B" w14:textId="77777777" w:rsidR="00944F5A" w:rsidRDefault="00944F5A" w:rsidP="00944F5A">
      <w:pPr>
        <w:pStyle w:val="Quote1"/>
      </w:pPr>
      <w:r>
        <w:t>I accept the Council’s submission that the scheme provides clear direction about what is sought in the RGZ3 area. More can be achieved by consolidating lots than the proposal for four townhouses.  Higher density and greater intensity are part of the broader strategy that directs substantial change to this location and contrasts with locations where the preferred character is different.</w:t>
      </w:r>
    </w:p>
    <w:p w14:paraId="3353D860" w14:textId="77777777" w:rsidR="00944F5A" w:rsidRDefault="00944F5A" w:rsidP="00944F5A">
      <w:pPr>
        <w:pStyle w:val="Quote1"/>
      </w:pPr>
      <w:r>
        <w:t>Having said that, it is relevant that the scheme anticipates both</w:t>
      </w:r>
      <w:r w:rsidRPr="009A041A">
        <w:t xml:space="preserve"> </w:t>
      </w:r>
      <w:r>
        <w:t>townhouses and apartments typologies in this location to achieve the stated strategic ambitions.  The likely typology will be affected by factors such as the lot size and configuration.  Apartments on larger or consolidated lots will achieve more than a narrow single lot, but development on single lots is not prohibited.</w:t>
      </w:r>
    </w:p>
    <w:p w14:paraId="32A09FCF" w14:textId="77777777" w:rsidR="00944F5A" w:rsidRDefault="00944F5A" w:rsidP="00944F5A">
      <w:pPr>
        <w:pStyle w:val="Quote1"/>
      </w:pPr>
      <w:r>
        <w:t>The long and relatively narrow site is a physical circumstance that creates challenges in designing a residential development…</w:t>
      </w:r>
    </w:p>
    <w:p w14:paraId="3EFC0C65" w14:textId="2B0375F8" w:rsidR="00840C36" w:rsidRDefault="009A43DE" w:rsidP="00DC2ADF">
      <w:pPr>
        <w:pStyle w:val="Para1"/>
      </w:pPr>
      <w:r>
        <w:t>T</w:t>
      </w:r>
      <w:r w:rsidR="00BD5316">
        <w:t xml:space="preserve">hese </w:t>
      </w:r>
      <w:r w:rsidR="00036B56">
        <w:t xml:space="preserve">decisions about development in Monash RGZ3 areas </w:t>
      </w:r>
      <w:r w:rsidR="00BD5316">
        <w:t xml:space="preserve">involve </w:t>
      </w:r>
      <w:r>
        <w:t xml:space="preserve">proposed </w:t>
      </w:r>
      <w:r w:rsidR="00BD5316">
        <w:t xml:space="preserve">development (in all or part) </w:t>
      </w:r>
      <w:r>
        <w:t xml:space="preserve">of </w:t>
      </w:r>
      <w:r w:rsidR="00BD5316">
        <w:t>three storeys.  Some were approved and others not.  Those that were refused were found to have specific design issues</w:t>
      </w:r>
      <w:r>
        <w:t xml:space="preserve"> taking into account </w:t>
      </w:r>
      <w:r w:rsidR="00840C36">
        <w:t xml:space="preserve">objectives and decision guidelines </w:t>
      </w:r>
      <w:r>
        <w:t>in RGZ3</w:t>
      </w:r>
      <w:r w:rsidR="00840C36">
        <w:t xml:space="preserve">. </w:t>
      </w:r>
      <w:r>
        <w:t>G</w:t>
      </w:r>
      <w:r w:rsidR="00840C36">
        <w:t xml:space="preserve">iven the planning outcome being pursued, </w:t>
      </w:r>
      <w:r>
        <w:t>references to</w:t>
      </w:r>
      <w:r w:rsidR="00840C36">
        <w:t xml:space="preserve"> sensitive interfaces are particularly at the transitional locations, such as with the GRZ cited in the decision guidelines at clause 5.0 of RGZ3.</w:t>
      </w:r>
      <w:r>
        <w:t xml:space="preserve">  In the current case, GRZ6 is opposite the subject land but no party contend</w:t>
      </w:r>
      <w:r w:rsidR="007A3EBD">
        <w:t>s</w:t>
      </w:r>
      <w:r>
        <w:t xml:space="preserve"> that there </w:t>
      </w:r>
      <w:r w:rsidR="007A3EBD">
        <w:t>is</w:t>
      </w:r>
      <w:r>
        <w:t xml:space="preserve"> a transitional consideration that carrie</w:t>
      </w:r>
      <w:r w:rsidR="007A3EBD">
        <w:t>s</w:t>
      </w:r>
      <w:r>
        <w:t xml:space="preserve"> weight.</w:t>
      </w:r>
    </w:p>
    <w:p w14:paraId="160A370C" w14:textId="1776D49C" w:rsidR="00036B56" w:rsidRDefault="00840C36" w:rsidP="00DC2ADF">
      <w:pPr>
        <w:pStyle w:val="Para1"/>
      </w:pPr>
      <w:r>
        <w:t xml:space="preserve">The </w:t>
      </w:r>
      <w:r w:rsidR="009A43DE">
        <w:t xml:space="preserve">decision guidelines in RGZ3 </w:t>
      </w:r>
      <w:r>
        <w:t xml:space="preserve">are directed to achieving development </w:t>
      </w:r>
      <w:r w:rsidR="003A4300">
        <w:t xml:space="preserve">and landscape (Garden City) </w:t>
      </w:r>
      <w:r>
        <w:t xml:space="preserve">outcomes in line </w:t>
      </w:r>
      <w:r w:rsidR="00084C68">
        <w:t xml:space="preserve">with </w:t>
      </w:r>
      <w:r w:rsidR="009A43DE">
        <w:t>the stated</w:t>
      </w:r>
      <w:r>
        <w:t xml:space="preserve"> design objectives.  In</w:t>
      </w:r>
      <w:r w:rsidR="00036B56">
        <w:t xml:space="preserve"> </w:t>
      </w:r>
      <w:r w:rsidR="00036B56" w:rsidRPr="00036B56">
        <w:rPr>
          <w:i/>
          <w:iCs/>
        </w:rPr>
        <w:t>Yang</w:t>
      </w:r>
      <w:r w:rsidR="00036B56">
        <w:t xml:space="preserve">, Member Whitney </w:t>
      </w:r>
      <w:r>
        <w:t>said</w:t>
      </w:r>
      <w:r w:rsidR="00036B56">
        <w:t>:</w:t>
      </w:r>
      <w:r w:rsidR="00036B56">
        <w:rPr>
          <w:rStyle w:val="FootnoteReference"/>
          <w:color w:val="000000" w:themeColor="text1"/>
          <w:shd w:val="clear" w:color="auto" w:fill="FFFFFF"/>
        </w:rPr>
        <w:footnoteReference w:id="12"/>
      </w:r>
    </w:p>
    <w:p w14:paraId="06EB78D8" w14:textId="1287B1D1" w:rsidR="00C374C5" w:rsidRPr="00C374C5" w:rsidRDefault="00C374C5" w:rsidP="00C374C5">
      <w:pPr>
        <w:pStyle w:val="Quote1"/>
      </w:pPr>
      <w:r w:rsidRPr="00C374C5">
        <w:t>I also acknowledge that the purposes of the RGZ3 refer to buildings up to and including four storeys being constructed for housing provision and that the proposal before me might be said to be a more tempered response at only three storeys. However, for the reasons set out above, I hold concerns as to the design response that is before me and how that addresses the RGZ3, notwithstanding that it is three and not four storeys.</w:t>
      </w:r>
    </w:p>
    <w:p w14:paraId="18F6F32D" w14:textId="0F6092C6" w:rsidR="00036B56" w:rsidRPr="00036B56" w:rsidRDefault="00036B56" w:rsidP="00C374C5">
      <w:pPr>
        <w:pStyle w:val="Quote1"/>
      </w:pPr>
      <w:r w:rsidRPr="00C374C5">
        <w:t>Notwithstanding that the site is located in a zone that supports increased density and housing diversity, that same zone also directs me to specific decision guidelines that speak to various aspects</w:t>
      </w:r>
      <w:r>
        <w:rPr>
          <w:shd w:val="clear" w:color="auto" w:fill="FFFFFF"/>
        </w:rPr>
        <w:t xml:space="preserve"> of the design and presentation of the development. The overall impression is of a large, block like structure with a significant and evident amount of hard paving and with little available space in the side setbacks to soften that impression. Overall, I find that the design of this development does not contain elements of the Garden City character and will not minimise the appearance of visual bulk, as sought by RGZ3.</w:t>
      </w:r>
    </w:p>
    <w:p w14:paraId="6965C9ED" w14:textId="24150F0C" w:rsidR="00BD5316" w:rsidRDefault="00255204" w:rsidP="00DC2ADF">
      <w:pPr>
        <w:pStyle w:val="Para1"/>
      </w:pPr>
      <w:r>
        <w:rPr>
          <w:noProof/>
        </w:rPr>
        <w:lastRenderedPageBreak/>
        <w:drawing>
          <wp:anchor distT="0" distB="0" distL="114300" distR="114300" simplePos="0" relativeHeight="251667456" behindDoc="1" locked="0" layoutInCell="1" allowOverlap="1" wp14:anchorId="56EF05DE" wp14:editId="55307C84">
            <wp:simplePos x="0" y="0"/>
            <wp:positionH relativeFrom="column">
              <wp:posOffset>5183505</wp:posOffset>
            </wp:positionH>
            <wp:positionV relativeFrom="paragraph">
              <wp:posOffset>8459470</wp:posOffset>
            </wp:positionV>
            <wp:extent cx="1080000" cy="1080000"/>
            <wp:effectExtent l="0" t="0" r="6350" b="6350"/>
            <wp:wrapNone/>
            <wp:docPr id="12" name="VCAT Seal8"/>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4F5A">
        <w:t>None of these Monash decisi</w:t>
      </w:r>
      <w:bookmarkStart w:id="8" w:name="_GoBack"/>
      <w:bookmarkEnd w:id="8"/>
      <w:r w:rsidR="00944F5A">
        <w:t xml:space="preserve">ons were made having regard to the now-adopted Clayton Activity Centre Precinct Structure Plan.  </w:t>
      </w:r>
      <w:r w:rsidR="0094776C">
        <w:t xml:space="preserve">A draft </w:t>
      </w:r>
      <w:r w:rsidR="009D675E">
        <w:t xml:space="preserve">of the Plan </w:t>
      </w:r>
      <w:r w:rsidR="0094776C">
        <w:t xml:space="preserve">was referred to in </w:t>
      </w:r>
      <w:r w:rsidR="0094776C" w:rsidRPr="0094776C">
        <w:rPr>
          <w:i/>
          <w:iCs/>
        </w:rPr>
        <w:t>Papermite</w:t>
      </w:r>
      <w:r w:rsidR="0094776C">
        <w:t xml:space="preserve">, where </w:t>
      </w:r>
      <w:r w:rsidR="00153FBE">
        <w:t>Member Glynn</w:t>
      </w:r>
      <w:r w:rsidR="0094776C">
        <w:t xml:space="preserve"> said in part:</w:t>
      </w:r>
      <w:r w:rsidR="0094776C" w:rsidRPr="0094776C">
        <w:rPr>
          <w:rStyle w:val="FootnoteReference"/>
        </w:rPr>
        <w:t xml:space="preserve"> </w:t>
      </w:r>
      <w:r w:rsidR="0094776C">
        <w:rPr>
          <w:rStyle w:val="FootnoteReference"/>
        </w:rPr>
        <w:footnoteReference w:id="13"/>
      </w:r>
    </w:p>
    <w:p w14:paraId="4DF1F594" w14:textId="56670156" w:rsidR="0094776C" w:rsidRDefault="0094776C" w:rsidP="0094776C">
      <w:pPr>
        <w:pStyle w:val="Quote1"/>
      </w:pPr>
      <w:r w:rsidRPr="00112164">
        <w:t>The proposed three storey building is less than the preferred six storey sought in the draft strategy, but I must address the proposal in context of the existing scheme that has a purpose of up to four storeys and no specific direction to consolidate</w:t>
      </w:r>
      <w:r>
        <w:t xml:space="preserve"> sites or provide for taller form</w:t>
      </w:r>
      <w:r w:rsidRPr="00112164">
        <w:t xml:space="preserve">.  If the structure plan is adopted and changes are made to the planning scheme to create a different design regime, then the applicant may seek to revisit the proposal to establish a higher order development.  </w:t>
      </w:r>
    </w:p>
    <w:p w14:paraId="2D95B9EE" w14:textId="3C52AFA5" w:rsidR="00AB3F1F" w:rsidRDefault="00FD6F1C" w:rsidP="00DC2ADF">
      <w:pPr>
        <w:pStyle w:val="Para1"/>
      </w:pPr>
      <w:r>
        <w:t xml:space="preserve">In other municipalities, and under different scheme provisions, submissions about the under-development of a site have been </w:t>
      </w:r>
      <w:r w:rsidR="007A3EBD">
        <w:t>assessed w</w:t>
      </w:r>
      <w:r w:rsidR="00E17312">
        <w:t>here structure planning had proceeded to development controls and associated policy in a scheme.</w:t>
      </w:r>
      <w:r>
        <w:rPr>
          <w:rStyle w:val="FootnoteReference"/>
        </w:rPr>
        <w:footnoteReference w:id="14"/>
      </w:r>
      <w:r>
        <w:t xml:space="preserve">  In </w:t>
      </w:r>
      <w:r w:rsidRPr="00BD5316">
        <w:rPr>
          <w:i/>
          <w:iCs/>
        </w:rPr>
        <w:t>Nice Star</w:t>
      </w:r>
      <w:r>
        <w:t xml:space="preserve">, </w:t>
      </w:r>
      <w:r w:rsidR="00944F5A">
        <w:t>Member Fong</w:t>
      </w:r>
      <w:r>
        <w:t xml:space="preserve"> said:</w:t>
      </w:r>
      <w:r>
        <w:rPr>
          <w:rStyle w:val="FootnoteReference"/>
        </w:rPr>
        <w:footnoteReference w:id="15"/>
      </w:r>
    </w:p>
    <w:p w14:paraId="7E5E4E28" w14:textId="48C8DA9F" w:rsidR="00FD6F1C" w:rsidRDefault="00FD6F1C" w:rsidP="00FD6F1C">
      <w:pPr>
        <w:pStyle w:val="Quote1"/>
      </w:pPr>
      <w:r>
        <w:t>The fundamental issue of this review is that the design of the development has not made use of the incentives for development in this area, an area where Maroondah has high expectation to achieve its Ringwood Activity Centre and housing provision of housing.</w:t>
      </w:r>
    </w:p>
    <w:p w14:paraId="5C77EC43" w14:textId="699CBE86" w:rsidR="00FD6F1C" w:rsidRPr="005F74DC" w:rsidRDefault="00FD6F1C" w:rsidP="00FD6F1C">
      <w:pPr>
        <w:pStyle w:val="Quote1"/>
      </w:pPr>
      <w:r>
        <w:t>In other words, I am not satisfied that the proposal is consistent with the zoning of the land, the DDO that affects it and Clause 22.06.</w:t>
      </w:r>
    </w:p>
    <w:p w14:paraId="28E16D5A" w14:textId="53C60B75" w:rsidR="003F0557" w:rsidRDefault="00944F5A" w:rsidP="00D0631A">
      <w:pPr>
        <w:pStyle w:val="Para1"/>
      </w:pPr>
      <w:r>
        <w:t xml:space="preserve">In </w:t>
      </w:r>
      <w:r w:rsidRPr="00944F5A">
        <w:rPr>
          <w:i/>
          <w:iCs/>
        </w:rPr>
        <w:t>Yearone</w:t>
      </w:r>
      <w:r>
        <w:t xml:space="preserve">, Member Birtwistle </w:t>
      </w:r>
      <w:r w:rsidR="007A0069">
        <w:t>concluded</w:t>
      </w:r>
      <w:r>
        <w:t>:</w:t>
      </w:r>
      <w:r>
        <w:rPr>
          <w:rStyle w:val="FootnoteReference"/>
        </w:rPr>
        <w:footnoteReference w:id="16"/>
      </w:r>
    </w:p>
    <w:p w14:paraId="23602C31" w14:textId="65C06C27" w:rsidR="00944F5A" w:rsidRDefault="007A0069" w:rsidP="007A0069">
      <w:pPr>
        <w:pStyle w:val="Quote1"/>
      </w:pPr>
      <w:r>
        <w:t>As the Council rightly stated, it is more common for the Tribunal and Council’s to consider the vexed issue of overdevelopment of land.  Less common is the issue of underdevelopment. In this instance, the hierarchy of planning policies and controls, from PPF, LPPF, zoning and overlays all ascribe a significant value to land within this important</w:t>
      </w:r>
      <w:r>
        <w:rPr>
          <w:rStyle w:val="FootnoteReference"/>
        </w:rPr>
        <w:footnoteReference w:id="17"/>
      </w:r>
      <w:r>
        <w:t xml:space="preserve"> Activity Centre.  There is no lack of clarity about the intent of this area to do the ‘heavy lifting’ in providing increased housing density at a scale not seen in other residential settings within Maroondah.  Development should optimise the full potential of sites and in this instance, reflect its location within a Central Activities Area. The proposal does not achieve this.</w:t>
      </w:r>
    </w:p>
    <w:p w14:paraId="2F0254DE" w14:textId="7DBA5685" w:rsidR="007A0069" w:rsidRDefault="00E17312" w:rsidP="007A0069">
      <w:pPr>
        <w:pStyle w:val="Para1"/>
      </w:pPr>
      <w:r>
        <w:t>The factual circumstances are very different</w:t>
      </w:r>
      <w:r w:rsidR="00412D07">
        <w:t xml:space="preserve"> to those applying in the current proceeding</w:t>
      </w:r>
      <w:r>
        <w:t xml:space="preserve">.  </w:t>
      </w:r>
      <w:r w:rsidR="00412D07">
        <w:t>Relevantly, there</w:t>
      </w:r>
      <w:r w:rsidR="007A0069">
        <w:t xml:space="preserve"> is </w:t>
      </w:r>
      <w:r w:rsidR="00FC6E0C">
        <w:t>no</w:t>
      </w:r>
      <w:r w:rsidR="007A0069">
        <w:t xml:space="preserve"> DDO for the subject land</w:t>
      </w:r>
      <w:r w:rsidR="00FC6E0C">
        <w:t xml:space="preserve"> and surrounding properties in the </w:t>
      </w:r>
      <w:r w:rsidR="009D675E">
        <w:t xml:space="preserve">Clayton </w:t>
      </w:r>
      <w:r w:rsidR="00FC6E0C">
        <w:t>Activity Centre</w:t>
      </w:r>
      <w:r w:rsidR="00412D07">
        <w:t xml:space="preserve"> </w:t>
      </w:r>
      <w:r w:rsidR="007A3EBD">
        <w:t>that would</w:t>
      </w:r>
      <w:r w:rsidR="00412D07">
        <w:t xml:space="preserve"> implement a structure plan</w:t>
      </w:r>
      <w:r w:rsidR="00FC6E0C">
        <w:t>.  This</w:t>
      </w:r>
      <w:r w:rsidR="007A0069">
        <w:t xml:space="preserve"> could emerge through the structure planning process.  </w:t>
      </w:r>
      <w:r w:rsidR="00412D07">
        <w:t xml:space="preserve">The adopted </w:t>
      </w:r>
      <w:r w:rsidR="00AD6DE5">
        <w:t>P</w:t>
      </w:r>
      <w:r w:rsidR="00412D07">
        <w:t>lan is a relevant matter</w:t>
      </w:r>
      <w:r w:rsidR="005A20F0">
        <w:rPr>
          <w:rStyle w:val="FootnoteReference"/>
        </w:rPr>
        <w:footnoteReference w:id="18"/>
      </w:r>
      <w:r w:rsidR="00412D07">
        <w:t>, although t</w:t>
      </w:r>
      <w:r w:rsidR="007A0069">
        <w:t>he outcome of that process is not</w:t>
      </w:r>
      <w:r w:rsidR="00412D07">
        <w:t xml:space="preserve"> </w:t>
      </w:r>
      <w:r w:rsidR="007A0069">
        <w:t>at any stage that can be given weight</w:t>
      </w:r>
      <w:r w:rsidR="00412D07">
        <w:t xml:space="preserve">.  It is, however, </w:t>
      </w:r>
      <w:r w:rsidR="007A0069">
        <w:t xml:space="preserve">clear that the RGZ3 and current planning work envisages more than two storey townhouses </w:t>
      </w:r>
      <w:r w:rsidR="006C659E">
        <w:t>– a design response that would be</w:t>
      </w:r>
      <w:r w:rsidR="007A0069">
        <w:t xml:space="preserve"> </w:t>
      </w:r>
      <w:r w:rsidR="006C659E">
        <w:t>acceptable (in principle)</w:t>
      </w:r>
      <w:r w:rsidR="007A0069">
        <w:t xml:space="preserve"> in other locations</w:t>
      </w:r>
      <w:r w:rsidR="009D675E">
        <w:t xml:space="preserve"> within the municipality</w:t>
      </w:r>
      <w:r w:rsidR="007A0069">
        <w:t xml:space="preserve">.  </w:t>
      </w:r>
    </w:p>
    <w:p w14:paraId="1951491A" w14:textId="7F35E5AD" w:rsidR="00944F5A" w:rsidRPr="00F91743" w:rsidRDefault="00255204" w:rsidP="00944F5A">
      <w:pPr>
        <w:pStyle w:val="Heading2"/>
        <w:rPr>
          <w:sz w:val="22"/>
          <w:szCs w:val="22"/>
          <w:lang w:eastAsia="en-AU"/>
        </w:rPr>
      </w:pPr>
      <w:r>
        <w:rPr>
          <w:noProof/>
        </w:rPr>
        <w:lastRenderedPageBreak/>
        <w:drawing>
          <wp:anchor distT="0" distB="0" distL="114300" distR="114300" simplePos="0" relativeHeight="251668480" behindDoc="1" locked="0" layoutInCell="1" allowOverlap="1" wp14:anchorId="51B91129" wp14:editId="2F81A738">
            <wp:simplePos x="0" y="0"/>
            <wp:positionH relativeFrom="column">
              <wp:posOffset>5183505</wp:posOffset>
            </wp:positionH>
            <wp:positionV relativeFrom="paragraph">
              <wp:posOffset>8459470</wp:posOffset>
            </wp:positionV>
            <wp:extent cx="1080000" cy="1080000"/>
            <wp:effectExtent l="0" t="0" r="6350" b="6350"/>
            <wp:wrapNone/>
            <wp:docPr id="13" name="VCAT Seal9"/>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944F5A">
        <w:t>UNDER</w:t>
      </w:r>
      <w:r w:rsidR="007A3EBD">
        <w:t>-</w:t>
      </w:r>
      <w:r w:rsidR="00944F5A">
        <w:t>DEVELOPMENT</w:t>
      </w:r>
    </w:p>
    <w:p w14:paraId="5E6E3380" w14:textId="77777777" w:rsidR="00944F5A" w:rsidRDefault="00944F5A" w:rsidP="00944F5A">
      <w:pPr>
        <w:pStyle w:val="Heading3"/>
      </w:pPr>
      <w:r>
        <w:t>Issues</w:t>
      </w:r>
    </w:p>
    <w:p w14:paraId="459D9CA3" w14:textId="77777777" w:rsidR="00B46DA4" w:rsidRDefault="00B2492B" w:rsidP="00B2492B">
      <w:pPr>
        <w:pStyle w:val="Para1"/>
      </w:pPr>
      <w:r>
        <w:t xml:space="preserve">The applicant submits the proposal to construct four double storey townhouses is appropriate given the </w:t>
      </w:r>
      <w:r w:rsidR="00066115">
        <w:t>unusual</w:t>
      </w:r>
      <w:r>
        <w:t xml:space="preserve"> shape of the subject land and because the immediate neighbourhood is dominated by double storey townhouses. </w:t>
      </w:r>
      <w:r w:rsidR="00066115">
        <w:t xml:space="preserve"> </w:t>
      </w:r>
    </w:p>
    <w:p w14:paraId="15613F47" w14:textId="684F7ABF" w:rsidR="00B2492B" w:rsidRDefault="00B2492B" w:rsidP="00DC2ADF">
      <w:pPr>
        <w:pStyle w:val="Para1"/>
      </w:pPr>
      <w:r>
        <w:t>Mr Hocking submits that the unusually</w:t>
      </w:r>
      <w:r w:rsidR="007A3EBD">
        <w:t>-</w:t>
      </w:r>
      <w:r>
        <w:t xml:space="preserve">shaped lot is almost the last undeveloped property at the southern end of Kanooka Grove. The </w:t>
      </w:r>
      <w:r w:rsidR="00066115">
        <w:t xml:space="preserve">proposed </w:t>
      </w:r>
      <w:r>
        <w:t xml:space="preserve">building typology accords with the preferred character statement and objectives for this location. Buildings of less than four storeys are not precluded nor are townhouses. Recognising that the land is designated for substantial change, the applicant submits that the design responds to this, including by adopting </w:t>
      </w:r>
      <w:r w:rsidR="00066115">
        <w:t>the efficiencies</w:t>
      </w:r>
      <w:r>
        <w:t xml:space="preserve"> associated with a reverse-living format.  The proposal, in the applicant’s submission, carries forward the broader strategic framework for Clayton.</w:t>
      </w:r>
      <w:r w:rsidR="00066115">
        <w:t xml:space="preserve">  Policies should not be slavishly </w:t>
      </w:r>
      <w:r w:rsidR="00AD6DE5">
        <w:t xml:space="preserve">applied, rather they must be considered as relevant </w:t>
      </w:r>
      <w:r w:rsidR="00066115">
        <w:t xml:space="preserve">to the </w:t>
      </w:r>
      <w:r w:rsidR="00AD6DE5">
        <w:t>specific</w:t>
      </w:r>
      <w:r w:rsidR="00066115">
        <w:t xml:space="preserve"> facts and circumstances.</w:t>
      </w:r>
    </w:p>
    <w:p w14:paraId="4752E2EC" w14:textId="07A82420" w:rsidR="00FD6F1C" w:rsidRDefault="00FD6F1C" w:rsidP="00DC2ADF">
      <w:pPr>
        <w:pStyle w:val="Para1"/>
      </w:pPr>
      <w:r>
        <w:t xml:space="preserve">Mr Hocking </w:t>
      </w:r>
      <w:r w:rsidR="007A3EBD">
        <w:t>states</w:t>
      </w:r>
      <w:r>
        <w:t xml:space="preserve"> that more could potentially be done on this site, such as providing three storey dwellings at the front of the land.  </w:t>
      </w:r>
      <w:r w:rsidR="007A3EBD">
        <w:t>But he says</w:t>
      </w:r>
      <w:r>
        <w:t xml:space="preserve"> this </w:t>
      </w:r>
      <w:r w:rsidR="007A3EBD">
        <w:t>would</w:t>
      </w:r>
      <w:r>
        <w:t xml:space="preserve"> unlike</w:t>
      </w:r>
      <w:r w:rsidR="007A3EBD">
        <w:t xml:space="preserve">ly </w:t>
      </w:r>
      <w:r>
        <w:t>be approved</w:t>
      </w:r>
      <w:r w:rsidR="008459BA">
        <w:t xml:space="preserve"> by the Council.</w:t>
      </w:r>
    </w:p>
    <w:p w14:paraId="276EEC64" w14:textId="4C24EFCA" w:rsidR="00A24727" w:rsidRDefault="008459BA" w:rsidP="009C78C2">
      <w:pPr>
        <w:pStyle w:val="Para1"/>
      </w:pPr>
      <w:r>
        <w:t xml:space="preserve">These and related submissions presented by the applicant respond to the Council’s position that approval of the current application will undermine and preclude the long-term achievement of the policy objectives for the Clayton Activity Centre. </w:t>
      </w:r>
      <w:r w:rsidR="00A24727">
        <w:t xml:space="preserve">  Mr Turner submits the locational attributes of the land cannot be under</w:t>
      </w:r>
      <w:r w:rsidR="00AD6DE5">
        <w:t>-</w:t>
      </w:r>
      <w:r w:rsidR="00A24727">
        <w:t xml:space="preserve">stated.  </w:t>
      </w:r>
      <w:r w:rsidR="009C78C2">
        <w:t xml:space="preserve">The land is in one of the higher order activity centres within the Monash municipality.  The change expected within the Clayton Activity Centre is very clearly expressed by the inclusion of the site in the RGZ which indicates that this is an area where more intense housing and change in built form is sought.  The Plan is seeking to accommodate some 8,000 people.  In addition to RGZ3 calling for housing growth in the form of apartments, the preferred future character for the Clayton Activity Centre states that the scale of new residential development will generally comprise larger footprint apartment development of a high-quality design and finish.  </w:t>
      </w:r>
    </w:p>
    <w:p w14:paraId="657A525B" w14:textId="77777777" w:rsidR="0083552E" w:rsidRDefault="0083552E" w:rsidP="0083552E">
      <w:pPr>
        <w:pStyle w:val="Heading3"/>
      </w:pPr>
      <w:r>
        <w:t>Findings</w:t>
      </w:r>
    </w:p>
    <w:p w14:paraId="322A0C35" w14:textId="77777777" w:rsidR="007A3EBD" w:rsidRDefault="00F028DE" w:rsidP="00FC78BD">
      <w:pPr>
        <w:pStyle w:val="Para1"/>
      </w:pPr>
      <w:r>
        <w:t>I have already indicated that the existing (and new) policy does not limit development to apartment</w:t>
      </w:r>
      <w:r w:rsidR="007A3EBD">
        <w:t>s.  RGZ3 seeks to facilitate apartment developments while the preferred character statement seeks new development that is generally larger footprint apartments with some infill townhouses and units.</w:t>
      </w:r>
    </w:p>
    <w:p w14:paraId="576AA553" w14:textId="330E902D" w:rsidR="003F0557" w:rsidRDefault="007A3EBD" w:rsidP="00FC78BD">
      <w:pPr>
        <w:pStyle w:val="Para1"/>
      </w:pPr>
      <w:r>
        <w:t>T</w:t>
      </w:r>
      <w:r w:rsidR="00974A95">
        <w:t>here is a clear expression of achieving more than would be the norm or envisaged in character areas without the same emphasis on a new character and housing growth.  Double storey townhouses could be expected in GRZ areas, including using balconies for private open space</w:t>
      </w:r>
      <w:r w:rsidR="00AD6DE5">
        <w:t xml:space="preserve"> in some locations</w:t>
      </w:r>
      <w:r>
        <w:t xml:space="preserve">.  I </w:t>
      </w:r>
      <w:r w:rsidR="00255204">
        <w:rPr>
          <w:noProof/>
        </w:rPr>
        <w:lastRenderedPageBreak/>
        <w:drawing>
          <wp:anchor distT="0" distB="0" distL="114300" distR="114300" simplePos="0" relativeHeight="251669504" behindDoc="1" locked="0" layoutInCell="1" allowOverlap="1" wp14:anchorId="50BDD707" wp14:editId="1D71B29D">
            <wp:simplePos x="0" y="0"/>
            <wp:positionH relativeFrom="column">
              <wp:posOffset>5183505</wp:posOffset>
            </wp:positionH>
            <wp:positionV relativeFrom="paragraph">
              <wp:posOffset>8459470</wp:posOffset>
            </wp:positionV>
            <wp:extent cx="1080000" cy="1080000"/>
            <wp:effectExtent l="0" t="0" r="6350" b="6350"/>
            <wp:wrapNone/>
            <wp:docPr id="14" name="VCAT Seal10"/>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say this having regard to the</w:t>
      </w:r>
      <w:r w:rsidR="00974A95">
        <w:t xml:space="preserve"> varied schedules </w:t>
      </w:r>
      <w:r>
        <w:t xml:space="preserve">to clause 32.08 </w:t>
      </w:r>
      <w:r w:rsidR="00974A95">
        <w:t>in this scheme.</w:t>
      </w:r>
    </w:p>
    <w:p w14:paraId="297E712D" w14:textId="77777777" w:rsidR="007A3EBD" w:rsidRDefault="00974A95" w:rsidP="00285CCA">
      <w:pPr>
        <w:pStyle w:val="Para1"/>
      </w:pPr>
      <w:r>
        <w:t xml:space="preserve">This is relevant because the applicant’s case discusses how the proposal fits with the existing character and characterises </w:t>
      </w:r>
      <w:r w:rsidR="008459BA">
        <w:t>the area as being dominated by double s</w:t>
      </w:r>
      <w:r>
        <w:t>t</w:t>
      </w:r>
      <w:r w:rsidR="008459BA">
        <w:t>orey townhouses</w:t>
      </w:r>
      <w:r>
        <w:t xml:space="preserve">.  Put another way, the </w:t>
      </w:r>
      <w:r w:rsidR="007A3EBD">
        <w:t xml:space="preserve">applicant says the </w:t>
      </w:r>
      <w:r>
        <w:t xml:space="preserve">proposed four townhouses would represent an acceptable degree of fit in character and streetscape terms having regard to the prevailing pattern of contemporary development.  </w:t>
      </w:r>
    </w:p>
    <w:p w14:paraId="07D5686F" w14:textId="49BE6D93" w:rsidR="00974A95" w:rsidRDefault="00974A95" w:rsidP="00285CCA">
      <w:pPr>
        <w:pStyle w:val="Para1"/>
      </w:pPr>
      <w:r>
        <w:t>But to what extent should the existing multi-unit developments and townhouses provide the benchmark and are they representative of the preferred character based on clause 22.01-4?</w:t>
      </w:r>
    </w:p>
    <w:p w14:paraId="44DCCC6C" w14:textId="5107013C" w:rsidR="003F0557" w:rsidRDefault="00974A95" w:rsidP="00DC2ADF">
      <w:pPr>
        <w:pStyle w:val="Para1"/>
      </w:pPr>
      <w:r>
        <w:t>I have difficulty with the applicant’s justification for two reasons.</w:t>
      </w:r>
    </w:p>
    <w:p w14:paraId="14C7346A" w14:textId="232C97F8" w:rsidR="00974A95" w:rsidRDefault="00974A95" w:rsidP="00DC2ADF">
      <w:pPr>
        <w:pStyle w:val="Para1"/>
      </w:pPr>
      <w:r>
        <w:t xml:space="preserve">One, I do not consider the area is dominated by double storey townhouses. </w:t>
      </w:r>
      <w:r w:rsidR="00FD3119">
        <w:t xml:space="preserve"> There is an evident presence of units</w:t>
      </w:r>
      <w:r w:rsidR="007A3EBD">
        <w:t xml:space="preserve"> that can be appreciated </w:t>
      </w:r>
      <w:r w:rsidR="00FD3119">
        <w:t>in the Nearmap extract below</w:t>
      </w:r>
      <w:r w:rsidR="007A3EBD">
        <w:t xml:space="preserve">.  These include </w:t>
      </w:r>
      <w:r w:rsidR="00FD3119">
        <w:t>two storey</w:t>
      </w:r>
      <w:r w:rsidR="007A3EBD">
        <w:t xml:space="preserve"> townhouses</w:t>
      </w:r>
      <w:r w:rsidR="00FD3119">
        <w:t xml:space="preserve">. However, there are also many older single storey units and detached houses.  </w:t>
      </w:r>
      <w:r w:rsidR="00604DAC">
        <w:t>Giving effect to the scheme’s policies envisages more than this.</w:t>
      </w:r>
    </w:p>
    <w:p w14:paraId="5A09EC6C" w14:textId="49BFE105" w:rsidR="00FD3119" w:rsidRDefault="00FD3119" w:rsidP="007D214F">
      <w:pPr>
        <w:pStyle w:val="Para1"/>
        <w:numPr>
          <w:ilvl w:val="0"/>
          <w:numId w:val="0"/>
        </w:numPr>
        <w:spacing w:before="240" w:after="240"/>
        <w:ind w:left="567" w:hanging="567"/>
        <w:jc w:val="center"/>
      </w:pPr>
      <w:r>
        <w:rPr>
          <w:noProof/>
        </w:rPr>
        <w:drawing>
          <wp:inline distT="0" distB="0" distL="0" distR="0" wp14:anchorId="61286B55" wp14:editId="007B83F7">
            <wp:extent cx="4792980" cy="3942023"/>
            <wp:effectExtent l="0" t="0" r="762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17218" cy="3961958"/>
                    </a:xfrm>
                    <a:prstGeom prst="rect">
                      <a:avLst/>
                    </a:prstGeom>
                  </pic:spPr>
                </pic:pic>
              </a:graphicData>
            </a:graphic>
          </wp:inline>
        </w:drawing>
      </w:r>
    </w:p>
    <w:p w14:paraId="5403BB4D" w14:textId="36C7ADEA" w:rsidR="005F161D" w:rsidRDefault="00974A95" w:rsidP="00C16B3E">
      <w:pPr>
        <w:pStyle w:val="Para1"/>
      </w:pPr>
      <w:r>
        <w:t xml:space="preserve">Two, </w:t>
      </w:r>
      <w:r w:rsidR="00604DAC">
        <w:t>and related to the previous point, the</w:t>
      </w:r>
      <w:r>
        <w:t xml:space="preserve"> strategic outcome here is not to fit in with the existing character because that character does not represent the much more intensive residential area described in local policy and </w:t>
      </w:r>
      <w:r w:rsidR="007D214F">
        <w:t xml:space="preserve">being pursued through </w:t>
      </w:r>
      <w:r>
        <w:t>RGZ3</w:t>
      </w:r>
      <w:r w:rsidR="007D214F">
        <w:t xml:space="preserve">. I am not persuaded to accept that the proposal’s good fit with the existing character is reason to support the application when I am also not persuaded that the prevailing character has evolved already in a way that aligns with the strategic directions and purpose of </w:t>
      </w:r>
      <w:r w:rsidR="00255204">
        <w:rPr>
          <w:noProof/>
        </w:rPr>
        <w:lastRenderedPageBreak/>
        <w:drawing>
          <wp:anchor distT="0" distB="0" distL="114300" distR="114300" simplePos="0" relativeHeight="251670528" behindDoc="1" locked="0" layoutInCell="1" allowOverlap="1" wp14:anchorId="2567C14D" wp14:editId="069AF49B">
            <wp:simplePos x="0" y="0"/>
            <wp:positionH relativeFrom="column">
              <wp:posOffset>5183505</wp:posOffset>
            </wp:positionH>
            <wp:positionV relativeFrom="paragraph">
              <wp:posOffset>8459470</wp:posOffset>
            </wp:positionV>
            <wp:extent cx="1080000" cy="1080000"/>
            <wp:effectExtent l="0" t="0" r="6350" b="6350"/>
            <wp:wrapNone/>
            <wp:docPr id="15" name="VCAT Seal1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D214F">
        <w:t>clause 32.07.</w:t>
      </w:r>
      <w:r w:rsidR="005F161D">
        <w:t xml:space="preserve">  The fact that the adjacent sites are developed with multiple dwellings might make consolidation and higher intensity development more difficult and a longer term proposition given multiple ownerships, however this does not prevent intensification as can be seen in many locations throughout Melbourne.</w:t>
      </w:r>
      <w:r w:rsidR="009D675E">
        <w:t xml:space="preserve">  The subject land is not an ‘infill’ site surrounded by development at the higher scale being encouraged and facilitated by the application of clause 32.07</w:t>
      </w:r>
      <w:r w:rsidR="00C66677">
        <w:t xml:space="preserve">, </w:t>
      </w:r>
      <w:r w:rsidR="009D675E">
        <w:t>the objectives stated in RGZ3</w:t>
      </w:r>
      <w:r w:rsidR="00C66677">
        <w:t xml:space="preserve"> and the preferred character statement</w:t>
      </w:r>
      <w:r w:rsidR="009D675E">
        <w:t>.</w:t>
      </w:r>
      <w:r w:rsidR="00C66677">
        <w:t xml:space="preserve">  </w:t>
      </w:r>
      <w:r w:rsidR="005F161D">
        <w:t xml:space="preserve">Proposed developments of three storeys </w:t>
      </w:r>
      <w:r w:rsidR="00C66677">
        <w:t>in this strategic</w:t>
      </w:r>
      <w:r w:rsidR="005F161D">
        <w:t xml:space="preserve"> setting have been found to not represent an under</w:t>
      </w:r>
      <w:r w:rsidR="007A3EBD">
        <w:t>-</w:t>
      </w:r>
      <w:r w:rsidR="005F161D">
        <w:t>development in other Tribunal proceedings but</w:t>
      </w:r>
      <w:r w:rsidR="00084C68">
        <w:t>,</w:t>
      </w:r>
      <w:r w:rsidR="005F161D">
        <w:t xml:space="preserve"> in this case</w:t>
      </w:r>
      <w:r w:rsidR="00084C68">
        <w:t>,</w:t>
      </w:r>
      <w:r w:rsidR="005F161D">
        <w:t xml:space="preserve"> the proposal for four double storey dwellings.</w:t>
      </w:r>
    </w:p>
    <w:p w14:paraId="36BEE2D7" w14:textId="760B0322" w:rsidR="007D214F" w:rsidRDefault="003F0557" w:rsidP="007D214F">
      <w:pPr>
        <w:pStyle w:val="Para1"/>
      </w:pPr>
      <w:r>
        <w:t xml:space="preserve">The applicant’s submission refers to the extent to which the proposal </w:t>
      </w:r>
      <w:r w:rsidR="00084C68">
        <w:t xml:space="preserve">for </w:t>
      </w:r>
      <w:r>
        <w:t>a three</w:t>
      </w:r>
      <w:r w:rsidR="009D675E">
        <w:t xml:space="preserve"> </w:t>
      </w:r>
      <w:r>
        <w:t xml:space="preserve">storey form would not be a good streetscape fit. </w:t>
      </w:r>
      <w:r w:rsidR="007D214F">
        <w:t xml:space="preserve">Mr Hocking </w:t>
      </w:r>
      <w:r w:rsidR="00C66677">
        <w:t>comments</w:t>
      </w:r>
      <w:r w:rsidR="007D214F">
        <w:t xml:space="preserve"> that it</w:t>
      </w:r>
      <w:r>
        <w:t xml:space="preserve"> would look </w:t>
      </w:r>
      <w:r w:rsidR="009D675E">
        <w:t>“</w:t>
      </w:r>
      <w:r w:rsidRPr="009D675E">
        <w:rPr>
          <w:i/>
          <w:iCs/>
        </w:rPr>
        <w:t>odd</w:t>
      </w:r>
      <w:r w:rsidR="009D675E">
        <w:t>”</w:t>
      </w:r>
      <w:r>
        <w:t xml:space="preserve"> and </w:t>
      </w:r>
      <w:r w:rsidR="009D675E">
        <w:t>“</w:t>
      </w:r>
      <w:r w:rsidRPr="009D675E">
        <w:rPr>
          <w:i/>
          <w:iCs/>
        </w:rPr>
        <w:t>clumsy</w:t>
      </w:r>
      <w:r w:rsidR="009D675E">
        <w:t>”</w:t>
      </w:r>
      <w:r w:rsidR="007D214F">
        <w:t xml:space="preserve"> and would unlikely be approved by the Council</w:t>
      </w:r>
      <w:r>
        <w:t xml:space="preserve">. </w:t>
      </w:r>
      <w:r w:rsidR="007D214F">
        <w:t xml:space="preserve"> </w:t>
      </w:r>
      <w:r w:rsidR="009D675E">
        <w:t>These submissions</w:t>
      </w:r>
      <w:r w:rsidR="005F161D">
        <w:t xml:space="preserve"> do not persuade me to accept the design response presented in this permit application </w:t>
      </w:r>
      <w:r w:rsidR="009D675E">
        <w:t xml:space="preserve">as an acceptable outcome </w:t>
      </w:r>
      <w:r w:rsidR="005F161D">
        <w:t xml:space="preserve">– a new character is being sought for this area and that means </w:t>
      </w:r>
      <w:r w:rsidR="00C66677">
        <w:t>new residential development</w:t>
      </w:r>
      <w:r w:rsidR="005F161D">
        <w:t xml:space="preserve"> will depart from the </w:t>
      </w:r>
      <w:r w:rsidR="009D675E">
        <w:t>existing character</w:t>
      </w:r>
      <w:r w:rsidR="005F161D">
        <w:t>.</w:t>
      </w:r>
      <w:r w:rsidR="004B3EDB">
        <w:t xml:space="preserve">  </w:t>
      </w:r>
      <w:r w:rsidR="00C66677">
        <w:t>As</w:t>
      </w:r>
      <w:r w:rsidR="004B3EDB">
        <w:t xml:space="preserve"> the Council puts its case for refusing permits in location</w:t>
      </w:r>
      <w:r w:rsidR="00084C68">
        <w:t>s</w:t>
      </w:r>
      <w:r w:rsidR="004B3EDB">
        <w:t xml:space="preserve"> such as these because of under-development</w:t>
      </w:r>
      <w:r w:rsidR="00880B5B">
        <w:t>,</w:t>
      </w:r>
      <w:r w:rsidR="004B3EDB">
        <w:t xml:space="preserve"> it </w:t>
      </w:r>
      <w:r w:rsidR="00C66677">
        <w:t>will be</w:t>
      </w:r>
      <w:r w:rsidR="004B3EDB">
        <w:t xml:space="preserve"> incumbent on the Council to facilitate applications that give effect to the RGZ3 and associated policies.</w:t>
      </w:r>
      <w:r w:rsidR="003C15B1">
        <w:rPr>
          <w:rStyle w:val="FootnoteReference"/>
        </w:rPr>
        <w:footnoteReference w:id="19"/>
      </w:r>
    </w:p>
    <w:p w14:paraId="4AC7BAA7" w14:textId="63C7D4BF" w:rsidR="00BA6C1A" w:rsidRDefault="007D214F" w:rsidP="005F161D">
      <w:pPr>
        <w:pStyle w:val="Para1"/>
      </w:pPr>
      <w:r>
        <w:t xml:space="preserve">The applicant’s case places significant weight on the triangular shape of the subject land and limitations that </w:t>
      </w:r>
      <w:r w:rsidR="009D675E">
        <w:t xml:space="preserve">configuration </w:t>
      </w:r>
      <w:r>
        <w:t xml:space="preserve">presents to an apartment building or more intensive development.  </w:t>
      </w:r>
      <w:r w:rsidR="005F161D">
        <w:t>This is a relevant matter in the decision guidelines in RGZ3.  T</w:t>
      </w:r>
      <w:r w:rsidR="00BA6C1A">
        <w:t xml:space="preserve">he fact that the subject land is irregularly shaped limits its potential compared with other sites taken individually. </w:t>
      </w:r>
      <w:r w:rsidR="00512A32">
        <w:t xml:space="preserve"> However, </w:t>
      </w:r>
      <w:r w:rsidR="000113BF">
        <w:t>Mr Hocking’s submission itself acknowledge</w:t>
      </w:r>
      <w:r w:rsidR="00C66677">
        <w:t>s</w:t>
      </w:r>
      <w:r w:rsidR="000113BF">
        <w:t xml:space="preserve"> that </w:t>
      </w:r>
      <w:r w:rsidR="00AD6DE5">
        <w:t>more</w:t>
      </w:r>
      <w:r w:rsidR="000113BF">
        <w:t xml:space="preserve"> could be achieved.</w:t>
      </w:r>
    </w:p>
    <w:p w14:paraId="0DED8AAD" w14:textId="65161574" w:rsidR="00C75C45" w:rsidRDefault="00715E14" w:rsidP="009744FA">
      <w:pPr>
        <w:pStyle w:val="Para1"/>
      </w:pPr>
      <w:r>
        <w:t xml:space="preserve">Having considered all of the material before me, </w:t>
      </w:r>
      <w:r w:rsidR="00195C6F">
        <w:t>I find</w:t>
      </w:r>
      <w:r w:rsidR="00C75C45">
        <w:t xml:space="preserve"> the design response does not achieve an acceptable outcome when assessed against clause 32.07 and </w:t>
      </w:r>
      <w:r w:rsidR="00880B5B">
        <w:t>RGZ3</w:t>
      </w:r>
      <w:r w:rsidR="00C75C45">
        <w:t xml:space="preserve"> as well as local policy for this location.  </w:t>
      </w:r>
    </w:p>
    <w:p w14:paraId="1BBBB845" w14:textId="37D08AA2" w:rsidR="00B25508" w:rsidRPr="00F91743" w:rsidRDefault="003F0557" w:rsidP="00B25508">
      <w:pPr>
        <w:pStyle w:val="Heading2"/>
        <w:rPr>
          <w:sz w:val="22"/>
          <w:szCs w:val="22"/>
          <w:lang w:eastAsia="en-AU"/>
        </w:rPr>
      </w:pPr>
      <w:r>
        <w:t>BUILDING BULK AND LANDSCAPING</w:t>
      </w:r>
    </w:p>
    <w:p w14:paraId="25F4704E" w14:textId="77777777" w:rsidR="0083552E" w:rsidRDefault="0083552E" w:rsidP="0083552E">
      <w:pPr>
        <w:pStyle w:val="Heading3"/>
      </w:pPr>
      <w:r>
        <w:t>Issues</w:t>
      </w:r>
    </w:p>
    <w:p w14:paraId="50105CE5" w14:textId="6EADBF88" w:rsidR="00B50036" w:rsidRDefault="00C31C66" w:rsidP="00CB000A">
      <w:pPr>
        <w:pStyle w:val="Para1"/>
      </w:pPr>
      <w:r>
        <w:t>The Council</w:t>
      </w:r>
      <w:r w:rsidR="00BA6C1A">
        <w:t xml:space="preserve"> submits the development would be visually dominating and obtrusive to its neighbours. It submits the RGZ3 </w:t>
      </w:r>
      <w:r w:rsidR="0041149D">
        <w:t>seeks to</w:t>
      </w:r>
      <w:r w:rsidR="00BA6C1A">
        <w:t xml:space="preserve"> manage</w:t>
      </w:r>
      <w:r w:rsidR="0041149D">
        <w:t xml:space="preserve"> </w:t>
      </w:r>
      <w:r w:rsidR="00BA6C1A">
        <w:t xml:space="preserve">visual bulk to respect sensitive residential interfaces and minimise the appearance of visual bulk. </w:t>
      </w:r>
      <w:r w:rsidR="0041149D">
        <w:t>Mr Turner states that the</w:t>
      </w:r>
      <w:r w:rsidR="00BA6C1A">
        <w:t xml:space="preserve"> size of the ground floor footprints and the extent of hard surface area </w:t>
      </w:r>
      <w:r w:rsidR="00AD6DE5">
        <w:t>are</w:t>
      </w:r>
      <w:r w:rsidR="00BA6C1A">
        <w:t xml:space="preserve"> significant without sufficient separation between buildings and first </w:t>
      </w:r>
      <w:r w:rsidR="00AD6DE5">
        <w:t>floor</w:t>
      </w:r>
      <w:r w:rsidR="00BA6C1A">
        <w:t xml:space="preserve"> walls. In addition</w:t>
      </w:r>
      <w:r w:rsidR="00880B5B">
        <w:t>,</w:t>
      </w:r>
      <w:r w:rsidR="00BA6C1A">
        <w:t xml:space="preserve"> there are limited landscaping opportunities including for canopy tree planting</w:t>
      </w:r>
      <w:r w:rsidR="00880B5B">
        <w:t>.  T</w:t>
      </w:r>
      <w:r w:rsidR="00BA6C1A">
        <w:t xml:space="preserve">here is insufficient space to achieve landscaping that would be consistent with the Garden City character sought within the Activity Centre.  </w:t>
      </w:r>
    </w:p>
    <w:p w14:paraId="176B16D5" w14:textId="6D05CB45" w:rsidR="003F0557" w:rsidRDefault="00255204" w:rsidP="00D23F30">
      <w:pPr>
        <w:pStyle w:val="Para1"/>
      </w:pPr>
      <w:r>
        <w:rPr>
          <w:noProof/>
        </w:rPr>
        <w:lastRenderedPageBreak/>
        <w:drawing>
          <wp:anchor distT="0" distB="0" distL="114300" distR="114300" simplePos="0" relativeHeight="251671552" behindDoc="1" locked="0" layoutInCell="1" allowOverlap="1" wp14:anchorId="1253FA2D" wp14:editId="38891E40">
            <wp:simplePos x="0" y="0"/>
            <wp:positionH relativeFrom="column">
              <wp:posOffset>5183505</wp:posOffset>
            </wp:positionH>
            <wp:positionV relativeFrom="paragraph">
              <wp:posOffset>8459470</wp:posOffset>
            </wp:positionV>
            <wp:extent cx="1080000" cy="1080000"/>
            <wp:effectExtent l="0" t="0" r="6350" b="6350"/>
            <wp:wrapNone/>
            <wp:docPr id="16" name="VCAT Seal12"/>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414B23">
        <w:t>In response, t</w:t>
      </w:r>
      <w:r w:rsidR="00FA087A">
        <w:t>he applicant highlights features</w:t>
      </w:r>
      <w:r w:rsidR="00414B23">
        <w:t xml:space="preserve"> of the proposal </w:t>
      </w:r>
      <w:r w:rsidR="00DE3BAB">
        <w:t>including</w:t>
      </w:r>
      <w:r w:rsidR="003B2D98">
        <w:t xml:space="preserve"> </w:t>
      </w:r>
      <w:r w:rsidR="00DE3BAB">
        <w:t xml:space="preserve">compliance with </w:t>
      </w:r>
      <w:r w:rsidR="00FC1CE9">
        <w:t>all</w:t>
      </w:r>
      <w:r w:rsidR="003F0557">
        <w:t xml:space="preserve"> </w:t>
      </w:r>
      <w:r w:rsidR="00DE3BAB">
        <w:t>varied clause 55 standards</w:t>
      </w:r>
      <w:r w:rsidR="00726833">
        <w:t xml:space="preserve">.  </w:t>
      </w:r>
      <w:r w:rsidR="00066115">
        <w:t>The applicant submits that the extent to which there is visual bulk must be understood in the strategic context that applies and landscaping opportunities can be achieved consistent with the strategic context.</w:t>
      </w:r>
    </w:p>
    <w:p w14:paraId="0B190F77" w14:textId="10FE9060" w:rsidR="0083552E" w:rsidRDefault="0083552E" w:rsidP="0083552E">
      <w:pPr>
        <w:pStyle w:val="Heading3"/>
      </w:pPr>
      <w:r>
        <w:t>Findings</w:t>
      </w:r>
    </w:p>
    <w:p w14:paraId="45BFFBC8" w14:textId="77777777" w:rsidR="004B3EDB" w:rsidRDefault="0041149D" w:rsidP="00DC2ADF">
      <w:pPr>
        <w:pStyle w:val="Para1"/>
      </w:pPr>
      <w:r>
        <w:t xml:space="preserve">I agree with the Council that RGZ3 encourages residential intensification but with landscaping remaining a unifying feature of the streetscape.  However, I am not persuaded that the proposal represents unacceptable visual bulk nor is unduly limited in landscape opportunities in the planning context that applies.  </w:t>
      </w:r>
    </w:p>
    <w:p w14:paraId="794A011D" w14:textId="0BA14AD1" w:rsidR="00826391" w:rsidRDefault="0041149D" w:rsidP="00DC2ADF">
      <w:pPr>
        <w:pStyle w:val="Para1"/>
      </w:pPr>
      <w:r>
        <w:t>It is relevant that all varied clause 55 standards are met</w:t>
      </w:r>
      <w:r w:rsidR="00826391">
        <w:t xml:space="preserve"> and that adjacent sites involve development on and close to the common boundaries with the subject land</w:t>
      </w:r>
      <w:r>
        <w:t xml:space="preserve">. </w:t>
      </w:r>
      <w:r w:rsidR="00826391">
        <w:t>The Council’s submission does not articulate specific locations where visual bulk would represent an excessive impost or unacceptable outcome.</w:t>
      </w:r>
    </w:p>
    <w:p w14:paraId="46452419" w14:textId="77777777" w:rsidR="00213A02" w:rsidRDefault="00826391" w:rsidP="00DC2ADF">
      <w:pPr>
        <w:pStyle w:val="Para1"/>
      </w:pPr>
      <w:r>
        <w:t xml:space="preserve">The upper levels of the proposed dwellings are </w:t>
      </w:r>
      <w:r w:rsidR="004B3EDB">
        <w:t>all</w:t>
      </w:r>
      <w:r>
        <w:t xml:space="preserve"> spaced </w:t>
      </w:r>
      <w:r w:rsidR="004B3EDB">
        <w:t xml:space="preserve">and some articulation is provided in wall planes and materials.  </w:t>
      </w:r>
    </w:p>
    <w:p w14:paraId="172DF1FD" w14:textId="07233793" w:rsidR="00B50036" w:rsidRDefault="004B3EDB" w:rsidP="005D6BE5">
      <w:pPr>
        <w:pStyle w:val="Para1"/>
      </w:pPr>
      <w:r>
        <w:t>T</w:t>
      </w:r>
      <w:r w:rsidR="00826391">
        <w:t>he reverse-living format is acceptable.</w:t>
      </w:r>
      <w:r w:rsidR="00213A02">
        <w:t xml:space="preserve">  </w:t>
      </w:r>
      <w:r w:rsidR="0041149D">
        <w:t xml:space="preserve">Further, </w:t>
      </w:r>
      <w:r w:rsidR="004F2335" w:rsidRPr="004F2335">
        <w:t>the</w:t>
      </w:r>
      <w:r w:rsidR="004F2335">
        <w:t xml:space="preserve">re are opportunities for four canopy </w:t>
      </w:r>
      <w:r w:rsidR="004F2335" w:rsidRPr="004F2335">
        <w:t xml:space="preserve">trees </w:t>
      </w:r>
      <w:r w:rsidR="004F2335">
        <w:t xml:space="preserve">to be </w:t>
      </w:r>
      <w:r w:rsidR="004F2335" w:rsidRPr="004F2335">
        <w:t xml:space="preserve">planted </w:t>
      </w:r>
      <w:r w:rsidR="004F2335">
        <w:t xml:space="preserve">in the front setback and </w:t>
      </w:r>
      <w:r w:rsidR="00213A02">
        <w:t xml:space="preserve">some more limited opportunities </w:t>
      </w:r>
      <w:r w:rsidR="004F2335">
        <w:t xml:space="preserve">for the </w:t>
      </w:r>
      <w:r w:rsidR="004F2335" w:rsidRPr="004F2335">
        <w:t>rear yard</w:t>
      </w:r>
      <w:r w:rsidR="004F2335">
        <w:t>s</w:t>
      </w:r>
      <w:r w:rsidR="004F2335" w:rsidRPr="004F2335">
        <w:t xml:space="preserve"> of  both Dwelling 3 and Dwelling 4 </w:t>
      </w:r>
      <w:r w:rsidR="004F2335">
        <w:t xml:space="preserve">to also </w:t>
      </w:r>
      <w:r w:rsidR="00213A02">
        <w:t xml:space="preserve">each </w:t>
      </w:r>
      <w:r w:rsidR="004F2335">
        <w:t>have a canopy tree.  That potential has not been challenged in the Council’s submission.</w:t>
      </w:r>
    </w:p>
    <w:p w14:paraId="74B814DE" w14:textId="28731DEF" w:rsidR="00B50036" w:rsidRDefault="0041149D" w:rsidP="00B50036">
      <w:pPr>
        <w:pStyle w:val="Heading2"/>
      </w:pPr>
      <w:r>
        <w:t>VEHICLE</w:t>
      </w:r>
      <w:r w:rsidR="009B7246">
        <w:t xml:space="preserve"> ACCESS</w:t>
      </w:r>
    </w:p>
    <w:p w14:paraId="2B799718" w14:textId="15B345CD" w:rsidR="009B7246" w:rsidRDefault="00DD245B" w:rsidP="00FE6FEE">
      <w:pPr>
        <w:pStyle w:val="Para1"/>
      </w:pPr>
      <w:r>
        <w:t xml:space="preserve">The </w:t>
      </w:r>
      <w:r w:rsidR="009B7246">
        <w:t xml:space="preserve">Council submits </w:t>
      </w:r>
      <w:r w:rsidR="00BA6C1A">
        <w:t xml:space="preserve">vehicle access to Dwellings 1 and 2 do not comply with the requirements in clause 52.06-9. </w:t>
      </w:r>
      <w:r w:rsidR="0041149D">
        <w:t xml:space="preserve"> I have not explored this matter in detail, given my earlier findings.  </w:t>
      </w:r>
      <w:r w:rsidR="00DA10F8">
        <w:t>This</w:t>
      </w:r>
      <w:r w:rsidR="0041149D">
        <w:t xml:space="preserve"> could have been addressed through permit conditions.</w:t>
      </w:r>
    </w:p>
    <w:p w14:paraId="4E7B352C" w14:textId="67BDCCBD" w:rsidR="00DC1FE6" w:rsidRDefault="000A11E3" w:rsidP="009B7246">
      <w:pPr>
        <w:pStyle w:val="Heading2"/>
      </w:pPr>
      <w:r>
        <w:t>Conclusion</w:t>
      </w:r>
    </w:p>
    <w:p w14:paraId="0A403A26" w14:textId="7E548260" w:rsidR="00346625" w:rsidRDefault="000A11E3" w:rsidP="00346625">
      <w:pPr>
        <w:pStyle w:val="Para1"/>
      </w:pPr>
      <w:r>
        <w:t>For the above reasons, the</w:t>
      </w:r>
      <w:r w:rsidR="00B50036">
        <w:t xml:space="preserve"> r</w:t>
      </w:r>
      <w:r w:rsidRPr="00A36E53">
        <w:rPr>
          <w:color w:val="000000"/>
        </w:rPr>
        <w:t xml:space="preserve">esponsible </w:t>
      </w:r>
      <w:r w:rsidR="00B50036">
        <w:rPr>
          <w:color w:val="000000"/>
        </w:rPr>
        <w:t>a</w:t>
      </w:r>
      <w:r w:rsidRPr="00A36E53">
        <w:rPr>
          <w:color w:val="000000"/>
        </w:rPr>
        <w:t>uthority</w:t>
      </w:r>
      <w:r w:rsidR="00B50036">
        <w:rPr>
          <w:color w:val="000000"/>
        </w:rPr>
        <w:t xml:space="preserve">’s decision is </w:t>
      </w:r>
      <w:r w:rsidR="009F4C45">
        <w:rPr>
          <w:color w:val="000000"/>
        </w:rPr>
        <w:t>affirmed</w:t>
      </w:r>
      <w:r w:rsidR="00112F7A">
        <w:t>.</w:t>
      </w:r>
    </w:p>
    <w:p w14:paraId="55A57753" w14:textId="711759EE" w:rsidR="000A11E3" w:rsidRDefault="000A11E3" w:rsidP="000A11E3">
      <w:pPr>
        <w:pStyle w:val="Para1"/>
        <w:numPr>
          <w:ilvl w:val="0"/>
          <w:numId w:val="0"/>
        </w:numPr>
        <w:ind w:left="567" w:hanging="567"/>
      </w:pPr>
    </w:p>
    <w:p w14:paraId="27E1FB52" w14:textId="77777777" w:rsidR="00112F7A" w:rsidRDefault="00112F7A" w:rsidP="000A11E3">
      <w:pPr>
        <w:pStyle w:val="Para1"/>
        <w:numPr>
          <w:ilvl w:val="0"/>
          <w:numId w:val="0"/>
        </w:numPr>
        <w:ind w:left="567" w:hanging="567"/>
      </w:pPr>
    </w:p>
    <w:p w14:paraId="51932F40" w14:textId="77777777" w:rsidR="00345370" w:rsidRDefault="00345370">
      <w:pPr>
        <w:rPr>
          <w:rFonts w:ascii="Arial" w:hAnsi="Arial"/>
          <w:b/>
          <w:bCs/>
          <w:caps/>
          <w:sz w:val="24"/>
          <w:szCs w:val="24"/>
        </w:rPr>
      </w:pPr>
    </w:p>
    <w:tbl>
      <w:tblPr>
        <w:tblW w:w="0" w:type="auto"/>
        <w:tblLayout w:type="fixed"/>
        <w:tblLook w:val="0000" w:firstRow="0" w:lastRow="0" w:firstColumn="0" w:lastColumn="0" w:noHBand="0" w:noVBand="0"/>
      </w:tblPr>
      <w:tblGrid>
        <w:gridCol w:w="2988"/>
        <w:gridCol w:w="2827"/>
        <w:gridCol w:w="2906"/>
      </w:tblGrid>
      <w:tr w:rsidR="00345370" w:rsidRPr="00007380" w14:paraId="3DEFCB0A" w14:textId="77777777" w:rsidTr="00FC78BD">
        <w:tc>
          <w:tcPr>
            <w:tcW w:w="2988" w:type="dxa"/>
          </w:tcPr>
          <w:p w14:paraId="16888905" w14:textId="77777777" w:rsidR="00345370" w:rsidRPr="00007380" w:rsidRDefault="00345370" w:rsidP="00FC78BD">
            <w:pPr>
              <w:rPr>
                <w:b/>
              </w:rPr>
            </w:pPr>
            <w:r w:rsidRPr="00007380">
              <w:rPr>
                <w:b/>
              </w:rPr>
              <w:t>Margaret Baird</w:t>
            </w:r>
          </w:p>
          <w:p w14:paraId="0EFD378C" w14:textId="77777777" w:rsidR="00345370" w:rsidRPr="00007380" w:rsidRDefault="00345370" w:rsidP="00FC78BD">
            <w:pPr>
              <w:tabs>
                <w:tab w:val="left" w:pos="1515"/>
              </w:tabs>
              <w:rPr>
                <w:b/>
              </w:rPr>
            </w:pPr>
            <w:r w:rsidRPr="00007380">
              <w:rPr>
                <w:b/>
              </w:rPr>
              <w:t>Senior Member</w:t>
            </w:r>
          </w:p>
        </w:tc>
        <w:tc>
          <w:tcPr>
            <w:tcW w:w="2827" w:type="dxa"/>
          </w:tcPr>
          <w:p w14:paraId="2348A837" w14:textId="77777777" w:rsidR="00345370" w:rsidRPr="00007380" w:rsidRDefault="00345370" w:rsidP="00FC78BD">
            <w:pPr>
              <w:rPr>
                <w:b/>
              </w:rPr>
            </w:pPr>
          </w:p>
        </w:tc>
        <w:tc>
          <w:tcPr>
            <w:tcW w:w="2906" w:type="dxa"/>
          </w:tcPr>
          <w:p w14:paraId="3569FBDB" w14:textId="77777777" w:rsidR="00345370" w:rsidRPr="00007380" w:rsidRDefault="00345370" w:rsidP="00FC78BD">
            <w:pPr>
              <w:rPr>
                <w:b/>
              </w:rPr>
            </w:pPr>
          </w:p>
        </w:tc>
      </w:tr>
    </w:tbl>
    <w:p w14:paraId="2A0FC08A" w14:textId="0B1A9C08" w:rsidR="00DB5731" w:rsidRPr="00DB5731" w:rsidRDefault="00DB5731" w:rsidP="009F4C45">
      <w:pPr>
        <w:pStyle w:val="Order2"/>
        <w:numPr>
          <w:ilvl w:val="0"/>
          <w:numId w:val="0"/>
        </w:numPr>
        <w:ind w:left="567" w:hanging="567"/>
        <w:jc w:val="center"/>
        <w:rPr>
          <w:sz w:val="22"/>
          <w:szCs w:val="22"/>
        </w:rPr>
      </w:pPr>
    </w:p>
    <w:sectPr w:rsidR="00DB5731" w:rsidRPr="00DB5731" w:rsidSect="00C273D4">
      <w:footerReference w:type="default" r:id="rId12"/>
      <w:pgSz w:w="11907" w:h="16840"/>
      <w:pgMar w:top="1276" w:right="1701" w:bottom="993" w:left="1701" w:header="567" w:footer="518"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162A5" w14:textId="77777777" w:rsidR="003114FE" w:rsidRDefault="003114FE" w:rsidP="00D70EFE">
      <w:pPr>
        <w:pStyle w:val="TitlePagetext"/>
      </w:pPr>
      <w:r>
        <w:separator/>
      </w:r>
    </w:p>
  </w:endnote>
  <w:endnote w:type="continuationSeparator" w:id="0">
    <w:p w14:paraId="38384BBC" w14:textId="77777777" w:rsidR="003114FE" w:rsidRDefault="003114FE" w:rsidP="00D70EFE">
      <w:pPr>
        <w:pStyle w:val="TitlePag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584" w:type="pct"/>
      <w:tblInd w:w="-426" w:type="dxa"/>
      <w:tblBorders>
        <w:top w:val="single" w:sz="4" w:space="0" w:color="auto"/>
      </w:tblBorders>
      <w:tblLook w:val="0000" w:firstRow="0" w:lastRow="0" w:firstColumn="0" w:lastColumn="0" w:noHBand="0" w:noVBand="0"/>
    </w:tblPr>
    <w:tblGrid>
      <w:gridCol w:w="6607"/>
      <w:gridCol w:w="2891"/>
    </w:tblGrid>
    <w:tr w:rsidR="00DC2ADF" w14:paraId="5E1FE929" w14:textId="77777777" w:rsidTr="00FC78BD">
      <w:trPr>
        <w:cantSplit/>
      </w:trPr>
      <w:tc>
        <w:tcPr>
          <w:tcW w:w="3478" w:type="pct"/>
        </w:tcPr>
        <w:p w14:paraId="7A2A2CB8" w14:textId="5B7EA117" w:rsidR="00DC2ADF" w:rsidRDefault="00DC2ADF" w:rsidP="006E5743">
          <w:pPr>
            <w:pStyle w:val="Footer"/>
            <w:tabs>
              <w:tab w:val="clear" w:pos="9792"/>
            </w:tabs>
            <w:spacing w:beforeLines="60" w:before="144"/>
            <w:rPr>
              <w:rFonts w:cs="Arial"/>
              <w:sz w:val="18"/>
              <w:szCs w:val="18"/>
            </w:rPr>
          </w:pPr>
          <w:bookmarkStart w:id="9" w:name="FooterDescription"/>
          <w:bookmarkStart w:id="10" w:name="FooterFileNo1"/>
          <w:bookmarkEnd w:id="9"/>
          <w:bookmarkEnd w:id="10"/>
          <w:r>
            <w:rPr>
              <w:rFonts w:cs="Arial"/>
              <w:sz w:val="18"/>
              <w:szCs w:val="18"/>
            </w:rPr>
            <w:t>VCAT Reference No. P2307/2019</w:t>
          </w:r>
        </w:p>
      </w:tc>
      <w:tc>
        <w:tcPr>
          <w:tcW w:w="1522" w:type="pct"/>
        </w:tcPr>
        <w:p w14:paraId="3F02811C" w14:textId="5C5B3C67" w:rsidR="00DC2ADF" w:rsidRPr="00C273D4" w:rsidRDefault="00DC2ADF" w:rsidP="006E5743">
          <w:pPr>
            <w:pStyle w:val="Footer"/>
            <w:spacing w:beforeLines="60" w:before="144"/>
            <w:jc w:val="right"/>
            <w:rPr>
              <w:rFonts w:cs="Arial"/>
              <w:sz w:val="18"/>
              <w:szCs w:val="18"/>
            </w:rPr>
          </w:pPr>
          <w:r w:rsidRPr="00C273D4">
            <w:rPr>
              <w:rFonts w:cs="Arial"/>
              <w:sz w:val="18"/>
              <w:szCs w:val="18"/>
            </w:rPr>
            <w:t xml:space="preserve">Page </w:t>
          </w:r>
          <w:r w:rsidRPr="00C273D4">
            <w:rPr>
              <w:rStyle w:val="PageNumber"/>
              <w:sz w:val="18"/>
              <w:szCs w:val="18"/>
            </w:rPr>
            <w:fldChar w:fldCharType="begin"/>
          </w:r>
          <w:r w:rsidRPr="00C273D4">
            <w:rPr>
              <w:rStyle w:val="PageNumber"/>
              <w:sz w:val="18"/>
              <w:szCs w:val="18"/>
            </w:rPr>
            <w:instrText xml:space="preserve"> PAGE </w:instrText>
          </w:r>
          <w:r w:rsidRPr="00C273D4">
            <w:rPr>
              <w:rStyle w:val="PageNumber"/>
              <w:sz w:val="18"/>
              <w:szCs w:val="18"/>
            </w:rPr>
            <w:fldChar w:fldCharType="separate"/>
          </w:r>
          <w:r w:rsidRPr="00C273D4">
            <w:rPr>
              <w:rStyle w:val="PageNumber"/>
              <w:sz w:val="18"/>
              <w:szCs w:val="18"/>
            </w:rPr>
            <w:t>2</w:t>
          </w:r>
          <w:r w:rsidRPr="00C273D4">
            <w:rPr>
              <w:rStyle w:val="PageNumber"/>
              <w:sz w:val="18"/>
              <w:szCs w:val="18"/>
            </w:rPr>
            <w:fldChar w:fldCharType="end"/>
          </w:r>
          <w:r w:rsidRPr="00C273D4">
            <w:rPr>
              <w:rStyle w:val="PageNumber"/>
              <w:sz w:val="18"/>
              <w:szCs w:val="18"/>
            </w:rPr>
            <w:t xml:space="preserve"> of </w:t>
          </w:r>
          <w:r w:rsidRPr="00C273D4">
            <w:rPr>
              <w:rStyle w:val="PageNumber"/>
              <w:sz w:val="18"/>
              <w:szCs w:val="18"/>
            </w:rPr>
            <w:fldChar w:fldCharType="begin"/>
          </w:r>
          <w:r w:rsidRPr="00C273D4">
            <w:rPr>
              <w:rStyle w:val="PageNumber"/>
              <w:sz w:val="18"/>
              <w:szCs w:val="18"/>
            </w:rPr>
            <w:instrText xml:space="preserve"> NUMPAGES </w:instrText>
          </w:r>
          <w:r w:rsidRPr="00C273D4">
            <w:rPr>
              <w:rStyle w:val="PageNumber"/>
              <w:sz w:val="18"/>
              <w:szCs w:val="18"/>
            </w:rPr>
            <w:fldChar w:fldCharType="separate"/>
          </w:r>
          <w:r w:rsidRPr="00C273D4">
            <w:rPr>
              <w:rStyle w:val="PageNumber"/>
              <w:sz w:val="18"/>
              <w:szCs w:val="18"/>
            </w:rPr>
            <w:t>9</w:t>
          </w:r>
          <w:r w:rsidRPr="00C273D4">
            <w:rPr>
              <w:rStyle w:val="PageNumber"/>
              <w:sz w:val="18"/>
              <w:szCs w:val="18"/>
            </w:rPr>
            <w:fldChar w:fldCharType="end"/>
          </w:r>
        </w:p>
      </w:tc>
    </w:tr>
  </w:tbl>
  <w:p w14:paraId="6EBBD133" w14:textId="77777777" w:rsidR="00DC2ADF" w:rsidRDefault="00DC2ADF">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632A5A" w14:textId="77777777" w:rsidR="003114FE" w:rsidRDefault="003114FE">
      <w:pPr>
        <w:pStyle w:val="Footer"/>
        <w:pBdr>
          <w:top w:val="single" w:sz="4" w:space="1" w:color="auto"/>
        </w:pBdr>
        <w:rPr>
          <w:sz w:val="12"/>
        </w:rPr>
      </w:pPr>
    </w:p>
  </w:footnote>
  <w:footnote w:type="continuationSeparator" w:id="0">
    <w:p w14:paraId="432461AE" w14:textId="77777777" w:rsidR="003114FE" w:rsidRDefault="003114FE" w:rsidP="00D70EFE">
      <w:pPr>
        <w:pStyle w:val="TitlePagetext"/>
      </w:pPr>
      <w:r>
        <w:continuationSeparator/>
      </w:r>
    </w:p>
  </w:footnote>
  <w:footnote w:id="1">
    <w:p w14:paraId="6A303AD2" w14:textId="01629C2F" w:rsidR="00DC2ADF" w:rsidRDefault="00DC2ADF">
      <w:pPr>
        <w:pStyle w:val="FootnoteText"/>
      </w:pPr>
      <w:r>
        <w:rPr>
          <w:rStyle w:val="FootnoteReference"/>
        </w:rPr>
        <w:footnoteRef/>
      </w:r>
      <w:r>
        <w:t xml:space="preserve"> </w:t>
      </w:r>
      <w:r>
        <w:tab/>
        <w:t>Planning report extract.</w:t>
      </w:r>
    </w:p>
  </w:footnote>
  <w:footnote w:id="2">
    <w:p w14:paraId="2D573F9F" w14:textId="64EA1980" w:rsidR="00DC2ADF" w:rsidRDefault="00DC2ADF" w:rsidP="00725553">
      <w:pPr>
        <w:pStyle w:val="FootnoteText"/>
        <w:ind w:right="-426"/>
      </w:pPr>
      <w:r>
        <w:rPr>
          <w:rStyle w:val="FootnoteReference"/>
        </w:rPr>
        <w:footnoteRef/>
      </w:r>
      <w:r>
        <w:t xml:space="preserve"> </w:t>
      </w:r>
      <w:r>
        <w:tab/>
        <w:t>The submissions and evidence of the parties, supporting exhibits and statements of grounds filed have all been considered in the determination of the proceeding.   In accordance with the Tribunal’s  practice, not all of this material will be cited or referred to in these reasons.</w:t>
      </w:r>
    </w:p>
  </w:footnote>
  <w:footnote w:id="3">
    <w:p w14:paraId="1EAF35CC" w14:textId="7DE56BB3" w:rsidR="00DC2ADF" w:rsidRPr="00AD63F6" w:rsidRDefault="00DC2ADF">
      <w:pPr>
        <w:pStyle w:val="FootnoteText"/>
        <w:rPr>
          <w:lang w:val="en-US"/>
        </w:rPr>
      </w:pPr>
      <w:r>
        <w:rPr>
          <w:rStyle w:val="FootnoteReference"/>
        </w:rPr>
        <w:footnoteRef/>
      </w:r>
      <w:r>
        <w:t xml:space="preserve"> </w:t>
      </w:r>
      <w:r>
        <w:rPr>
          <w:lang w:val="en-US"/>
        </w:rPr>
        <w:tab/>
        <w:t>The Council’s submission withdraws a number of grounds relating to several clause 55 non-compliances and relating to internal amenity.</w:t>
      </w:r>
    </w:p>
  </w:footnote>
  <w:footnote w:id="4">
    <w:p w14:paraId="15584E9A" w14:textId="783E529E" w:rsidR="00DC2ADF" w:rsidRPr="00376D22" w:rsidRDefault="00DC2ADF">
      <w:pPr>
        <w:pStyle w:val="FootnoteText"/>
        <w:rPr>
          <w:lang w:val="en-US"/>
        </w:rPr>
      </w:pPr>
      <w:r>
        <w:rPr>
          <w:rStyle w:val="FootnoteReference"/>
        </w:rPr>
        <w:footnoteRef/>
      </w:r>
      <w:r>
        <w:t xml:space="preserve"> </w:t>
      </w:r>
      <w:r>
        <w:rPr>
          <w:lang w:val="en-US"/>
        </w:rPr>
        <w:tab/>
        <w:t>Such as clauses 21.04, 21.06 and 22.01.</w:t>
      </w:r>
    </w:p>
  </w:footnote>
  <w:footnote w:id="5">
    <w:p w14:paraId="0D95F84B" w14:textId="77777777" w:rsidR="00DC2ADF" w:rsidRPr="00AD5A29" w:rsidRDefault="00DC2ADF" w:rsidP="00415FEE">
      <w:pPr>
        <w:pStyle w:val="FootnoteText"/>
        <w:ind w:right="-426"/>
        <w:rPr>
          <w:lang w:val="en-US"/>
        </w:rPr>
      </w:pPr>
      <w:r>
        <w:rPr>
          <w:rStyle w:val="FootnoteReference"/>
        </w:rPr>
        <w:footnoteRef/>
      </w:r>
      <w:r>
        <w:t xml:space="preserve"> </w:t>
      </w:r>
      <w:r>
        <w:rPr>
          <w:lang w:val="en-US"/>
        </w:rPr>
        <w:tab/>
      </w:r>
      <w:r>
        <w:tab/>
        <w:t>Clause 22.01-4.</w:t>
      </w:r>
    </w:p>
  </w:footnote>
  <w:footnote w:id="6">
    <w:p w14:paraId="57D16D6C" w14:textId="4AFBF2B7" w:rsidR="00DC2ADF" w:rsidRPr="00AB3F1F" w:rsidRDefault="00DC2ADF">
      <w:pPr>
        <w:pStyle w:val="FootnoteText"/>
        <w:rPr>
          <w:lang w:val="en-US"/>
        </w:rPr>
      </w:pPr>
      <w:r>
        <w:rPr>
          <w:rStyle w:val="FootnoteReference"/>
        </w:rPr>
        <w:footnoteRef/>
      </w:r>
      <w:r>
        <w:t xml:space="preserve"> </w:t>
      </w:r>
      <w:r>
        <w:rPr>
          <w:lang w:val="en-US"/>
        </w:rPr>
        <w:tab/>
      </w:r>
      <w:r w:rsidRPr="00084C68">
        <w:rPr>
          <w:i/>
          <w:iCs/>
        </w:rPr>
        <w:t>Beattie v Monash CC</w:t>
      </w:r>
      <w:r>
        <w:t xml:space="preserve"> [2019] VCAT 258.</w:t>
      </w:r>
    </w:p>
  </w:footnote>
  <w:footnote w:id="7">
    <w:p w14:paraId="211DA056" w14:textId="32000AF9" w:rsidR="00DC2ADF" w:rsidRDefault="00DC2ADF" w:rsidP="00AB3F1F">
      <w:pPr>
        <w:pStyle w:val="FootnoteText"/>
      </w:pPr>
      <w:r>
        <w:rPr>
          <w:rStyle w:val="FootnoteReference"/>
        </w:rPr>
        <w:footnoteRef/>
      </w:r>
      <w:r>
        <w:t xml:space="preserve"> </w:t>
      </w:r>
      <w:r>
        <w:tab/>
      </w:r>
      <w:r w:rsidRPr="00696EF0">
        <w:rPr>
          <w:i/>
        </w:rPr>
        <w:t>HLP International Pty Ltd v Monash CC</w:t>
      </w:r>
      <w:r>
        <w:t xml:space="preserve"> </w:t>
      </w:r>
      <w:r w:rsidRPr="00696EF0">
        <w:t>[2018] VCAT 942</w:t>
      </w:r>
      <w:r>
        <w:t>.</w:t>
      </w:r>
    </w:p>
  </w:footnote>
  <w:footnote w:id="8">
    <w:p w14:paraId="0C0707B6" w14:textId="34A2A481" w:rsidR="00DC2ADF" w:rsidRDefault="00DC2ADF" w:rsidP="005C5646">
      <w:pPr>
        <w:pStyle w:val="FootnoteText"/>
        <w:ind w:right="-426"/>
      </w:pPr>
      <w:r>
        <w:rPr>
          <w:rStyle w:val="FootnoteReference"/>
        </w:rPr>
        <w:footnoteRef/>
      </w:r>
      <w:r>
        <w:t xml:space="preserve"> </w:t>
      </w:r>
      <w:r>
        <w:rPr>
          <w:lang w:val="en-US"/>
        </w:rPr>
        <w:tab/>
      </w:r>
      <w:r w:rsidRPr="00C05F8F">
        <w:rPr>
          <w:i/>
          <w:iCs/>
          <w:lang w:val="en-US"/>
        </w:rPr>
        <w:t>Yang v Monash CC</w:t>
      </w:r>
      <w:r>
        <w:rPr>
          <w:lang w:val="en-US"/>
        </w:rPr>
        <w:t xml:space="preserve"> [2019] VCAT 1677.  </w:t>
      </w:r>
    </w:p>
  </w:footnote>
  <w:footnote w:id="9">
    <w:p w14:paraId="46F1D87B" w14:textId="5B2B93F7" w:rsidR="00DC2ADF" w:rsidRPr="008B0D6B" w:rsidRDefault="00DC2ADF">
      <w:pPr>
        <w:pStyle w:val="FootnoteText"/>
        <w:rPr>
          <w:lang w:val="en-US"/>
        </w:rPr>
      </w:pPr>
      <w:r>
        <w:rPr>
          <w:rStyle w:val="FootnoteReference"/>
        </w:rPr>
        <w:footnoteRef/>
      </w:r>
      <w:r>
        <w:t xml:space="preserve"> </w:t>
      </w:r>
      <w:r>
        <w:tab/>
      </w:r>
      <w:r w:rsidRPr="0094776C">
        <w:rPr>
          <w:i/>
          <w:iCs/>
          <w:noProof/>
        </w:rPr>
        <w:t>Papermite Pty Ltd v Monash CC</w:t>
      </w:r>
      <w:r>
        <w:rPr>
          <w:noProof/>
        </w:rPr>
        <w:t xml:space="preserve"> [2019] VCAT 1954.</w:t>
      </w:r>
    </w:p>
  </w:footnote>
  <w:footnote w:id="10">
    <w:p w14:paraId="0C58BD9D" w14:textId="699EA2FD" w:rsidR="00DC2ADF" w:rsidRPr="008B0D6B" w:rsidRDefault="00DC2ADF">
      <w:pPr>
        <w:pStyle w:val="FootnoteText"/>
        <w:rPr>
          <w:lang w:val="en-US"/>
        </w:rPr>
      </w:pPr>
      <w:r>
        <w:rPr>
          <w:rStyle w:val="FootnoteReference"/>
        </w:rPr>
        <w:footnoteRef/>
      </w:r>
      <w:r>
        <w:t xml:space="preserve"> </w:t>
      </w:r>
      <w:r>
        <w:tab/>
        <w:t>Ibid, [21].</w:t>
      </w:r>
    </w:p>
  </w:footnote>
  <w:footnote w:id="11">
    <w:p w14:paraId="571FA63C" w14:textId="77777777" w:rsidR="00DC2ADF" w:rsidRPr="00D31189" w:rsidRDefault="00DC2ADF" w:rsidP="00944F5A">
      <w:pPr>
        <w:pStyle w:val="FootnoteText"/>
        <w:rPr>
          <w:lang w:val="en-US"/>
        </w:rPr>
      </w:pPr>
      <w:r>
        <w:rPr>
          <w:rStyle w:val="FootnoteReference"/>
        </w:rPr>
        <w:footnoteRef/>
      </w:r>
      <w:r>
        <w:t xml:space="preserve"> </w:t>
      </w:r>
      <w:r>
        <w:rPr>
          <w:lang w:val="en-US"/>
        </w:rPr>
        <w:tab/>
      </w:r>
      <w:r w:rsidRPr="00944F5A">
        <w:rPr>
          <w:i/>
          <w:iCs/>
        </w:rPr>
        <w:t>Wang v Monash CC</w:t>
      </w:r>
      <w:r w:rsidRPr="00981E5F">
        <w:t xml:space="preserve"> [2020] VCAT 544</w:t>
      </w:r>
      <w:r>
        <w:t>, [20] – [22], footnote excluded from the quote.</w:t>
      </w:r>
    </w:p>
  </w:footnote>
  <w:footnote w:id="12">
    <w:p w14:paraId="7BA9D893" w14:textId="09109782" w:rsidR="00DC2ADF" w:rsidRDefault="00DC2ADF" w:rsidP="00036B56">
      <w:pPr>
        <w:pStyle w:val="FootnoteText"/>
        <w:ind w:right="-426"/>
      </w:pPr>
      <w:r>
        <w:rPr>
          <w:rStyle w:val="FootnoteReference"/>
        </w:rPr>
        <w:footnoteRef/>
      </w:r>
      <w:r>
        <w:t xml:space="preserve"> </w:t>
      </w:r>
      <w:r>
        <w:rPr>
          <w:lang w:val="en-US"/>
        </w:rPr>
        <w:tab/>
      </w:r>
      <w:r w:rsidRPr="00C05F8F">
        <w:rPr>
          <w:i/>
          <w:iCs/>
          <w:lang w:val="en-US"/>
        </w:rPr>
        <w:t>Yang v Monash CC</w:t>
      </w:r>
      <w:r>
        <w:rPr>
          <w:lang w:val="en-US"/>
        </w:rPr>
        <w:t xml:space="preserve"> [2019] VCAT 1677, [28] and 30].</w:t>
      </w:r>
    </w:p>
  </w:footnote>
  <w:footnote w:id="13">
    <w:p w14:paraId="6A8A440F" w14:textId="0513B5D8" w:rsidR="00DC2ADF" w:rsidRPr="008B0D6B" w:rsidRDefault="00DC2ADF" w:rsidP="0094776C">
      <w:pPr>
        <w:pStyle w:val="FootnoteText"/>
        <w:rPr>
          <w:lang w:val="en-US"/>
        </w:rPr>
      </w:pPr>
      <w:r>
        <w:rPr>
          <w:rStyle w:val="FootnoteReference"/>
        </w:rPr>
        <w:footnoteRef/>
      </w:r>
      <w:r>
        <w:t xml:space="preserve"> </w:t>
      </w:r>
      <w:r>
        <w:tab/>
      </w:r>
      <w:r w:rsidRPr="0094776C">
        <w:rPr>
          <w:i/>
          <w:iCs/>
          <w:noProof/>
        </w:rPr>
        <w:t>Papermite Pty Ltd v Monash CC</w:t>
      </w:r>
      <w:r>
        <w:rPr>
          <w:noProof/>
        </w:rPr>
        <w:t xml:space="preserve"> [2019] VCAT 1954, [54].</w:t>
      </w:r>
    </w:p>
  </w:footnote>
  <w:footnote w:id="14">
    <w:p w14:paraId="680798CD" w14:textId="323A7C05" w:rsidR="00DC2ADF" w:rsidRPr="00FD6F1C" w:rsidRDefault="00DC2ADF">
      <w:pPr>
        <w:pStyle w:val="FootnoteText"/>
        <w:rPr>
          <w:lang w:val="en-US"/>
        </w:rPr>
      </w:pPr>
      <w:r>
        <w:rPr>
          <w:rStyle w:val="FootnoteReference"/>
        </w:rPr>
        <w:footnoteRef/>
      </w:r>
      <w:r>
        <w:t xml:space="preserve"> </w:t>
      </w:r>
      <w:r>
        <w:rPr>
          <w:lang w:val="en-US"/>
        </w:rPr>
        <w:tab/>
        <w:t xml:space="preserve">For example, </w:t>
      </w:r>
      <w:r>
        <w:rPr>
          <w:i/>
        </w:rPr>
        <w:t xml:space="preserve">Doncaster Road Property Partnership v Manningham CC </w:t>
      </w:r>
      <w:r w:rsidRPr="007A3EBD">
        <w:rPr>
          <w:iCs/>
        </w:rPr>
        <w:t>[2004]</w:t>
      </w:r>
      <w:r>
        <w:rPr>
          <w:i/>
        </w:rPr>
        <w:t xml:space="preserve"> </w:t>
      </w:r>
      <w:r w:rsidRPr="007A3EBD">
        <w:rPr>
          <w:iCs/>
        </w:rPr>
        <w:t>VCAT 2445.</w:t>
      </w:r>
    </w:p>
  </w:footnote>
  <w:footnote w:id="15">
    <w:p w14:paraId="3644BC6A" w14:textId="79BC127A" w:rsidR="00DC2ADF" w:rsidRPr="00FD6F1C" w:rsidRDefault="00DC2ADF">
      <w:pPr>
        <w:pStyle w:val="FootnoteText"/>
        <w:rPr>
          <w:lang w:val="en-US"/>
        </w:rPr>
      </w:pPr>
      <w:r>
        <w:rPr>
          <w:rStyle w:val="FootnoteReference"/>
        </w:rPr>
        <w:footnoteRef/>
      </w:r>
      <w:r>
        <w:t xml:space="preserve"> </w:t>
      </w:r>
      <w:r>
        <w:tab/>
      </w:r>
      <w:r w:rsidRPr="00944F5A">
        <w:rPr>
          <w:i/>
          <w:iCs/>
        </w:rPr>
        <w:t>Nice Star Pty Ltd v Maroondah CC</w:t>
      </w:r>
      <w:r>
        <w:t xml:space="preserve"> [2017]</w:t>
      </w:r>
      <w:r w:rsidR="00084C68">
        <w:t xml:space="preserve"> VCAT 365</w:t>
      </w:r>
      <w:r>
        <w:t>, [34] – [35].</w:t>
      </w:r>
    </w:p>
  </w:footnote>
  <w:footnote w:id="16">
    <w:p w14:paraId="077B6F66" w14:textId="341F5359" w:rsidR="00DC2ADF" w:rsidRPr="00944F5A" w:rsidRDefault="00DC2ADF" w:rsidP="00FC6E0C">
      <w:pPr>
        <w:pStyle w:val="Para1"/>
        <w:numPr>
          <w:ilvl w:val="0"/>
          <w:numId w:val="0"/>
        </w:numPr>
        <w:spacing w:after="0" w:line="240" w:lineRule="auto"/>
        <w:ind w:left="567" w:hanging="567"/>
        <w:rPr>
          <w:lang w:val="en-US"/>
        </w:rPr>
      </w:pPr>
      <w:r w:rsidRPr="00944F5A">
        <w:rPr>
          <w:rStyle w:val="FootnoteReference"/>
          <w:sz w:val="20"/>
          <w:szCs w:val="20"/>
        </w:rPr>
        <w:footnoteRef/>
      </w:r>
      <w:r w:rsidRPr="00944F5A">
        <w:rPr>
          <w:sz w:val="20"/>
          <w:szCs w:val="20"/>
        </w:rPr>
        <w:t xml:space="preserve"> </w:t>
      </w:r>
      <w:r w:rsidRPr="00944F5A">
        <w:rPr>
          <w:sz w:val="20"/>
          <w:szCs w:val="20"/>
          <w:lang w:val="en-US"/>
        </w:rPr>
        <w:tab/>
      </w:r>
      <w:r w:rsidRPr="00944F5A">
        <w:rPr>
          <w:i/>
          <w:iCs/>
          <w:sz w:val="20"/>
          <w:szCs w:val="20"/>
        </w:rPr>
        <w:t>Yearone Pty Ltd v Maroondah CC</w:t>
      </w:r>
      <w:r w:rsidRPr="00944F5A">
        <w:rPr>
          <w:sz w:val="20"/>
          <w:szCs w:val="20"/>
        </w:rPr>
        <w:t xml:space="preserve"> [2019] VCAT 1036</w:t>
      </w:r>
      <w:r>
        <w:rPr>
          <w:sz w:val="20"/>
          <w:szCs w:val="20"/>
        </w:rPr>
        <w:t>, [46].</w:t>
      </w:r>
    </w:p>
  </w:footnote>
  <w:footnote w:id="17">
    <w:p w14:paraId="3E88EF3B" w14:textId="77777777" w:rsidR="00DC2ADF" w:rsidRDefault="00DC2ADF" w:rsidP="007A0069">
      <w:pPr>
        <w:pStyle w:val="FootnoteText"/>
      </w:pPr>
      <w:r>
        <w:rPr>
          <w:rStyle w:val="FootnoteReference"/>
        </w:rPr>
        <w:footnoteRef/>
      </w:r>
      <w:r>
        <w:t xml:space="preserve"> </w:t>
      </w:r>
      <w:r>
        <w:tab/>
        <w:t>At both a metropolitan and local level</w:t>
      </w:r>
    </w:p>
  </w:footnote>
  <w:footnote w:id="18">
    <w:p w14:paraId="18C5FB90" w14:textId="0563737B" w:rsidR="00DC2ADF" w:rsidRPr="005A20F0" w:rsidRDefault="00DC2ADF">
      <w:pPr>
        <w:pStyle w:val="FootnoteText"/>
        <w:rPr>
          <w:lang w:val="en-US"/>
        </w:rPr>
      </w:pPr>
      <w:r>
        <w:rPr>
          <w:rStyle w:val="FootnoteReference"/>
        </w:rPr>
        <w:footnoteRef/>
      </w:r>
      <w:r>
        <w:t xml:space="preserve"> </w:t>
      </w:r>
      <w:r>
        <w:rPr>
          <w:lang w:val="en-US"/>
        </w:rPr>
        <w:tab/>
        <w:t xml:space="preserve">Sections 60(1A)(g) and 84B of the </w:t>
      </w:r>
      <w:r w:rsidRPr="005A20F0">
        <w:rPr>
          <w:i/>
          <w:iCs/>
          <w:lang w:val="en-US"/>
        </w:rPr>
        <w:t>Planning and Environment Act 1987</w:t>
      </w:r>
      <w:r>
        <w:rPr>
          <w:lang w:val="en-US"/>
        </w:rPr>
        <w:t>.</w:t>
      </w:r>
    </w:p>
  </w:footnote>
  <w:footnote w:id="19">
    <w:p w14:paraId="517EE020" w14:textId="0B15C8FF" w:rsidR="003C15B1" w:rsidRDefault="003C15B1">
      <w:pPr>
        <w:pStyle w:val="FootnoteText"/>
      </w:pPr>
      <w:r>
        <w:rPr>
          <w:rStyle w:val="FootnoteReference"/>
        </w:rPr>
        <w:footnoteRef/>
      </w:r>
      <w:r>
        <w:t xml:space="preserve"> </w:t>
      </w:r>
      <w:r>
        <w:tab/>
        <w:t>I note that I was referred to a site nearby in Carinish Road that is approved with a three storey apartment building.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E05CEAF0"/>
    <w:lvl w:ilvl="0" w:tplc="6D527BE2">
      <w:start w:val="1"/>
      <w:numFmt w:val="decimal"/>
      <w:pStyle w:val="Para1"/>
      <w:lvlText w:val="%1"/>
      <w:lvlJc w:val="left"/>
      <w:pPr>
        <w:tabs>
          <w:tab w:val="num" w:pos="567"/>
        </w:tabs>
        <w:ind w:left="567" w:hanging="567"/>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D7343A"/>
    <w:multiLevelType w:val="hybridMultilevel"/>
    <w:tmpl w:val="A7EC7A5A"/>
    <w:lvl w:ilvl="0" w:tplc="3FA29BF0">
      <w:start w:val="73"/>
      <w:numFmt w:val="decimal"/>
      <w:lvlText w:val="%1"/>
      <w:lvlJc w:val="left"/>
      <w:pPr>
        <w:ind w:left="7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C464256">
      <w:start w:val="21"/>
      <w:numFmt w:val="decimal"/>
      <w:lvlText w:val="%2"/>
      <w:lvlJc w:val="left"/>
      <w:pPr>
        <w:ind w:left="1425"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2" w:tplc="299C8DDC">
      <w:start w:val="1"/>
      <w:numFmt w:val="lowerRoman"/>
      <w:lvlText w:val="%3"/>
      <w:lvlJc w:val="left"/>
      <w:pPr>
        <w:ind w:left="18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3" w:tplc="A9B61F3E">
      <w:start w:val="1"/>
      <w:numFmt w:val="decimal"/>
      <w:lvlText w:val="%4"/>
      <w:lvlJc w:val="left"/>
      <w:pPr>
        <w:ind w:left="25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4" w:tplc="F34E7942">
      <w:start w:val="1"/>
      <w:numFmt w:val="lowerLetter"/>
      <w:lvlText w:val="%5"/>
      <w:lvlJc w:val="left"/>
      <w:pPr>
        <w:ind w:left="324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5" w:tplc="7B12F95E">
      <w:start w:val="1"/>
      <w:numFmt w:val="lowerRoman"/>
      <w:lvlText w:val="%6"/>
      <w:lvlJc w:val="left"/>
      <w:pPr>
        <w:ind w:left="396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6" w:tplc="0C86AC14">
      <w:start w:val="1"/>
      <w:numFmt w:val="decimal"/>
      <w:lvlText w:val="%7"/>
      <w:lvlJc w:val="left"/>
      <w:pPr>
        <w:ind w:left="468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7" w:tplc="137E1FEA">
      <w:start w:val="1"/>
      <w:numFmt w:val="lowerLetter"/>
      <w:lvlText w:val="%8"/>
      <w:lvlJc w:val="left"/>
      <w:pPr>
        <w:ind w:left="540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lvl w:ilvl="8" w:tplc="9CC8244C">
      <w:start w:val="1"/>
      <w:numFmt w:val="lowerRoman"/>
      <w:lvlText w:val="%9"/>
      <w:lvlJc w:val="left"/>
      <w:pPr>
        <w:ind w:left="6120" w:firstLine="0"/>
      </w:pPr>
      <w:rPr>
        <w:rFonts w:ascii="Arial" w:eastAsia="Arial" w:hAnsi="Arial" w:cs="Arial"/>
        <w:b w:val="0"/>
        <w:i/>
        <w:iCs/>
        <w:strike w:val="0"/>
        <w:dstrike w:val="0"/>
        <w:color w:val="000000"/>
        <w:sz w:val="20"/>
        <w:szCs w:val="20"/>
        <w:u w:val="none" w:color="000000"/>
        <w:effect w:val="none"/>
        <w:bdr w:val="none" w:sz="0" w:space="0" w:color="auto" w:frame="1"/>
        <w:vertAlign w:val="baseline"/>
      </w:rPr>
    </w:lvl>
  </w:abstractNum>
  <w:abstractNum w:abstractNumId="4" w15:restartNumberingAfterBreak="0">
    <w:nsid w:val="132A618D"/>
    <w:multiLevelType w:val="hybridMultilevel"/>
    <w:tmpl w:val="9EC46206"/>
    <w:lvl w:ilvl="0" w:tplc="CE9239F4">
      <w:start w:val="1"/>
      <w:numFmt w:val="lowerRoman"/>
      <w:pStyle w:val="Para3"/>
      <w:lvlText w:val="%1"/>
      <w:lvlJc w:val="left"/>
      <w:pPr>
        <w:tabs>
          <w:tab w:val="num" w:pos="1134"/>
        </w:tabs>
        <w:ind w:left="1134"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78A5120"/>
    <w:multiLevelType w:val="hybridMultilevel"/>
    <w:tmpl w:val="193EBA0A"/>
    <w:lvl w:ilvl="0" w:tplc="89A04332">
      <w:start w:val="1"/>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682EF6C">
      <w:start w:val="1"/>
      <w:numFmt w:val="bullet"/>
      <w:lvlText w:val="•"/>
      <w:lvlJc w:val="left"/>
      <w:pPr>
        <w:ind w:left="10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F16602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7C4CBD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DF04D1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2EE16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79416F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D9CAF5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75A053A">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4906483"/>
    <w:multiLevelType w:val="hybridMultilevel"/>
    <w:tmpl w:val="A92A2A3C"/>
    <w:lvl w:ilvl="0" w:tplc="600C0DCA">
      <w:start w:val="1"/>
      <w:numFmt w:val="bullet"/>
      <w:lvlText w:val=""/>
      <w:lvlJc w:val="left"/>
      <w:pPr>
        <w:ind w:left="720" w:hanging="360"/>
      </w:pPr>
      <w:rPr>
        <w:rFonts w:ascii="Symbol" w:hAnsi="Symbol" w:hint="default"/>
      </w:rPr>
    </w:lvl>
    <w:lvl w:ilvl="1" w:tplc="71345ADA">
      <w:start w:val="1"/>
      <w:numFmt w:val="decimal"/>
      <w:lvlText w:val="%2."/>
      <w:lvlJc w:val="left"/>
      <w:pPr>
        <w:tabs>
          <w:tab w:val="num" w:pos="1440"/>
        </w:tabs>
        <w:ind w:left="1440" w:hanging="360"/>
      </w:pPr>
    </w:lvl>
    <w:lvl w:ilvl="2" w:tplc="C8DC1E36">
      <w:start w:val="1"/>
      <w:numFmt w:val="decimal"/>
      <w:lvlText w:val="%3."/>
      <w:lvlJc w:val="left"/>
      <w:pPr>
        <w:tabs>
          <w:tab w:val="num" w:pos="2160"/>
        </w:tabs>
        <w:ind w:left="2160" w:hanging="360"/>
      </w:pPr>
    </w:lvl>
    <w:lvl w:ilvl="3" w:tplc="5F1070B2">
      <w:start w:val="1"/>
      <w:numFmt w:val="decimal"/>
      <w:lvlText w:val="%4."/>
      <w:lvlJc w:val="left"/>
      <w:pPr>
        <w:tabs>
          <w:tab w:val="num" w:pos="2880"/>
        </w:tabs>
        <w:ind w:left="2880" w:hanging="360"/>
      </w:pPr>
    </w:lvl>
    <w:lvl w:ilvl="4" w:tplc="C88C2A34">
      <w:start w:val="1"/>
      <w:numFmt w:val="decimal"/>
      <w:lvlText w:val="%5."/>
      <w:lvlJc w:val="left"/>
      <w:pPr>
        <w:tabs>
          <w:tab w:val="num" w:pos="3600"/>
        </w:tabs>
        <w:ind w:left="3600" w:hanging="360"/>
      </w:pPr>
    </w:lvl>
    <w:lvl w:ilvl="5" w:tplc="6BEA818C">
      <w:start w:val="1"/>
      <w:numFmt w:val="decimal"/>
      <w:lvlText w:val="%6."/>
      <w:lvlJc w:val="left"/>
      <w:pPr>
        <w:tabs>
          <w:tab w:val="num" w:pos="4320"/>
        </w:tabs>
        <w:ind w:left="4320" w:hanging="360"/>
      </w:pPr>
    </w:lvl>
    <w:lvl w:ilvl="6" w:tplc="5DEEDAA2">
      <w:start w:val="1"/>
      <w:numFmt w:val="decimal"/>
      <w:lvlText w:val="%7."/>
      <w:lvlJc w:val="left"/>
      <w:pPr>
        <w:tabs>
          <w:tab w:val="num" w:pos="5040"/>
        </w:tabs>
        <w:ind w:left="5040" w:hanging="360"/>
      </w:pPr>
    </w:lvl>
    <w:lvl w:ilvl="7" w:tplc="0C9E4B54">
      <w:start w:val="1"/>
      <w:numFmt w:val="decimal"/>
      <w:lvlText w:val="%8."/>
      <w:lvlJc w:val="left"/>
      <w:pPr>
        <w:tabs>
          <w:tab w:val="num" w:pos="5760"/>
        </w:tabs>
        <w:ind w:left="5760" w:hanging="360"/>
      </w:pPr>
    </w:lvl>
    <w:lvl w:ilvl="8" w:tplc="6302B298">
      <w:start w:val="1"/>
      <w:numFmt w:val="decimal"/>
      <w:lvlText w:val="%9."/>
      <w:lvlJc w:val="left"/>
      <w:pPr>
        <w:tabs>
          <w:tab w:val="num" w:pos="6480"/>
        </w:tabs>
        <w:ind w:left="6480" w:hanging="360"/>
      </w:pPr>
    </w:lvl>
  </w:abstractNum>
  <w:abstractNum w:abstractNumId="7" w15:restartNumberingAfterBreak="0">
    <w:nsid w:val="2CDA699F"/>
    <w:multiLevelType w:val="hybridMultilevel"/>
    <w:tmpl w:val="69208ECA"/>
    <w:lvl w:ilvl="0" w:tplc="7D0CB33A">
      <w:start w:val="1"/>
      <w:numFmt w:val="decimal"/>
      <w:lvlText w:val="%1."/>
      <w:lvlJc w:val="left"/>
      <w:pPr>
        <w:tabs>
          <w:tab w:val="num" w:pos="720"/>
        </w:tabs>
        <w:ind w:left="720" w:hanging="360"/>
      </w:pPr>
    </w:lvl>
    <w:lvl w:ilvl="1" w:tplc="441657A2">
      <w:start w:val="1"/>
      <w:numFmt w:val="lowerRoman"/>
      <w:lvlText w:val="%2."/>
      <w:lvlJc w:val="right"/>
      <w:pPr>
        <w:tabs>
          <w:tab w:val="num" w:pos="1440"/>
        </w:tabs>
        <w:ind w:left="1440" w:hanging="360"/>
      </w:pPr>
    </w:lvl>
    <w:lvl w:ilvl="2" w:tplc="3B76833C" w:tentative="1">
      <w:start w:val="1"/>
      <w:numFmt w:val="decimal"/>
      <w:lvlText w:val="%3."/>
      <w:lvlJc w:val="left"/>
      <w:pPr>
        <w:tabs>
          <w:tab w:val="num" w:pos="2160"/>
        </w:tabs>
        <w:ind w:left="2160" w:hanging="360"/>
      </w:pPr>
    </w:lvl>
    <w:lvl w:ilvl="3" w:tplc="1998514A" w:tentative="1">
      <w:start w:val="1"/>
      <w:numFmt w:val="decimal"/>
      <w:lvlText w:val="%4."/>
      <w:lvlJc w:val="left"/>
      <w:pPr>
        <w:tabs>
          <w:tab w:val="num" w:pos="2880"/>
        </w:tabs>
        <w:ind w:left="2880" w:hanging="360"/>
      </w:pPr>
    </w:lvl>
    <w:lvl w:ilvl="4" w:tplc="0FF2F90A" w:tentative="1">
      <w:start w:val="1"/>
      <w:numFmt w:val="decimal"/>
      <w:lvlText w:val="%5."/>
      <w:lvlJc w:val="left"/>
      <w:pPr>
        <w:tabs>
          <w:tab w:val="num" w:pos="3600"/>
        </w:tabs>
        <w:ind w:left="3600" w:hanging="360"/>
      </w:pPr>
    </w:lvl>
    <w:lvl w:ilvl="5" w:tplc="B7F48530" w:tentative="1">
      <w:start w:val="1"/>
      <w:numFmt w:val="decimal"/>
      <w:lvlText w:val="%6."/>
      <w:lvlJc w:val="left"/>
      <w:pPr>
        <w:tabs>
          <w:tab w:val="num" w:pos="4320"/>
        </w:tabs>
        <w:ind w:left="4320" w:hanging="360"/>
      </w:pPr>
    </w:lvl>
    <w:lvl w:ilvl="6" w:tplc="225A1D4A" w:tentative="1">
      <w:start w:val="1"/>
      <w:numFmt w:val="decimal"/>
      <w:lvlText w:val="%7."/>
      <w:lvlJc w:val="left"/>
      <w:pPr>
        <w:tabs>
          <w:tab w:val="num" w:pos="5040"/>
        </w:tabs>
        <w:ind w:left="5040" w:hanging="360"/>
      </w:pPr>
    </w:lvl>
    <w:lvl w:ilvl="7" w:tplc="FB489E50" w:tentative="1">
      <w:start w:val="1"/>
      <w:numFmt w:val="decimal"/>
      <w:lvlText w:val="%8."/>
      <w:lvlJc w:val="left"/>
      <w:pPr>
        <w:tabs>
          <w:tab w:val="num" w:pos="5760"/>
        </w:tabs>
        <w:ind w:left="5760" w:hanging="360"/>
      </w:pPr>
    </w:lvl>
    <w:lvl w:ilvl="8" w:tplc="EC9E22DC" w:tentative="1">
      <w:start w:val="1"/>
      <w:numFmt w:val="decimal"/>
      <w:lvlText w:val="%9."/>
      <w:lvlJc w:val="left"/>
      <w:pPr>
        <w:tabs>
          <w:tab w:val="num" w:pos="6480"/>
        </w:tabs>
        <w:ind w:left="6480" w:hanging="360"/>
      </w:pPr>
    </w:lvl>
  </w:abstractNum>
  <w:abstractNum w:abstractNumId="8"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A301273"/>
    <w:multiLevelType w:val="singleLevel"/>
    <w:tmpl w:val="04090017"/>
    <w:lvl w:ilvl="0">
      <w:start w:val="1"/>
      <w:numFmt w:val="lowerLetter"/>
      <w:lvlText w:val="%1)"/>
      <w:lvlJc w:val="left"/>
      <w:pPr>
        <w:ind w:left="360" w:hanging="360"/>
      </w:pPr>
      <w:rPr>
        <w:b w:val="0"/>
        <w:i w:val="0"/>
        <w:sz w:val="24"/>
      </w:rPr>
    </w:lvl>
  </w:abstractNum>
  <w:abstractNum w:abstractNumId="10" w15:restartNumberingAfterBreak="0">
    <w:nsid w:val="3F125734"/>
    <w:multiLevelType w:val="singleLevel"/>
    <w:tmpl w:val="0F48A72E"/>
    <w:lvl w:ilvl="0">
      <w:start w:val="1"/>
      <w:numFmt w:val="lowerLetter"/>
      <w:lvlText w:val="%1)"/>
      <w:lvlJc w:val="left"/>
      <w:pPr>
        <w:tabs>
          <w:tab w:val="num" w:pos="567"/>
        </w:tabs>
        <w:ind w:left="567" w:hanging="567"/>
      </w:pPr>
      <w:rPr>
        <w:b w:val="0"/>
        <w:i w:val="0"/>
        <w:sz w:val="24"/>
      </w:rPr>
    </w:lvl>
  </w:abstractNum>
  <w:abstractNum w:abstractNumId="11" w15:restartNumberingAfterBreak="0">
    <w:nsid w:val="43474812"/>
    <w:multiLevelType w:val="multilevel"/>
    <w:tmpl w:val="31501912"/>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469F096C"/>
    <w:multiLevelType w:val="multilevel"/>
    <w:tmpl w:val="D8BAF794"/>
    <w:lvl w:ilvl="0">
      <w:start w:val="1"/>
      <w:numFmt w:val="decimal"/>
      <w:pStyle w:val="Order2"/>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9A32BAD"/>
    <w:multiLevelType w:val="multilevel"/>
    <w:tmpl w:val="963CFD7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E834AF"/>
    <w:multiLevelType w:val="singleLevel"/>
    <w:tmpl w:val="065A038E"/>
    <w:lvl w:ilvl="0">
      <w:start w:val="1"/>
      <w:numFmt w:val="bullet"/>
      <w:lvlText w:val=""/>
      <w:lvlJc w:val="left"/>
      <w:pPr>
        <w:tabs>
          <w:tab w:val="num" w:pos="567"/>
        </w:tabs>
        <w:ind w:left="567" w:hanging="567"/>
      </w:pPr>
      <w:rPr>
        <w:rFonts w:ascii="Symbol" w:hAnsi="Symbol" w:hint="default"/>
      </w:rPr>
    </w:lvl>
  </w:abstractNum>
  <w:abstractNum w:abstractNumId="15" w15:restartNumberingAfterBreak="0">
    <w:nsid w:val="632311A6"/>
    <w:multiLevelType w:val="hybridMultilevel"/>
    <w:tmpl w:val="A6A482E4"/>
    <w:lvl w:ilvl="0" w:tplc="EF96D9DE">
      <w:start w:val="1"/>
      <w:numFmt w:val="bullet"/>
      <w:lvlText w:val="•"/>
      <w:lvlJc w:val="left"/>
      <w:pPr>
        <w:ind w:left="180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1" w:tplc="CF3A9350">
      <w:start w:val="1"/>
      <w:numFmt w:val="bullet"/>
      <w:lvlText w:val="o"/>
      <w:lvlJc w:val="left"/>
      <w:pPr>
        <w:ind w:left="171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2" w:tplc="FF9C8A1E">
      <w:start w:val="1"/>
      <w:numFmt w:val="bullet"/>
      <w:lvlText w:val="▪"/>
      <w:lvlJc w:val="left"/>
      <w:pPr>
        <w:ind w:left="24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3" w:tplc="40F69430">
      <w:start w:val="1"/>
      <w:numFmt w:val="bullet"/>
      <w:lvlText w:val="•"/>
      <w:lvlJc w:val="left"/>
      <w:pPr>
        <w:ind w:left="315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4" w:tplc="63BA5F6C">
      <w:start w:val="1"/>
      <w:numFmt w:val="bullet"/>
      <w:lvlText w:val="o"/>
      <w:lvlJc w:val="left"/>
      <w:pPr>
        <w:ind w:left="387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5" w:tplc="067C37D8">
      <w:start w:val="1"/>
      <w:numFmt w:val="bullet"/>
      <w:lvlText w:val="▪"/>
      <w:lvlJc w:val="left"/>
      <w:pPr>
        <w:ind w:left="459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6" w:tplc="A962AE06">
      <w:start w:val="1"/>
      <w:numFmt w:val="bullet"/>
      <w:lvlText w:val="•"/>
      <w:lvlJc w:val="left"/>
      <w:pPr>
        <w:ind w:left="5310" w:firstLine="0"/>
      </w:pPr>
      <w:rPr>
        <w:rFonts w:ascii="Arial" w:eastAsia="Arial" w:hAnsi="Arial" w:cs="Arial"/>
        <w:b w:val="0"/>
        <w:i w:val="0"/>
        <w:strike w:val="0"/>
        <w:dstrike w:val="0"/>
        <w:color w:val="000000"/>
        <w:sz w:val="21"/>
        <w:szCs w:val="21"/>
        <w:u w:val="none" w:color="000000"/>
        <w:effect w:val="none"/>
        <w:bdr w:val="none" w:sz="0" w:space="0" w:color="auto" w:frame="1"/>
        <w:vertAlign w:val="baseline"/>
      </w:rPr>
    </w:lvl>
    <w:lvl w:ilvl="7" w:tplc="B476C1D8">
      <w:start w:val="1"/>
      <w:numFmt w:val="bullet"/>
      <w:lvlText w:val="o"/>
      <w:lvlJc w:val="left"/>
      <w:pPr>
        <w:ind w:left="603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lvl w:ilvl="8" w:tplc="32E01FDA">
      <w:start w:val="1"/>
      <w:numFmt w:val="bullet"/>
      <w:lvlText w:val="▪"/>
      <w:lvlJc w:val="left"/>
      <w:pPr>
        <w:ind w:left="6750" w:firstLine="0"/>
      </w:pPr>
      <w:rPr>
        <w:rFonts w:ascii="Segoe UI Symbol" w:eastAsia="Segoe UI Symbol" w:hAnsi="Segoe UI Symbol" w:cs="Segoe UI Symbol"/>
        <w:b w:val="0"/>
        <w:i w:val="0"/>
        <w:strike w:val="0"/>
        <w:dstrike w:val="0"/>
        <w:color w:val="000000"/>
        <w:sz w:val="21"/>
        <w:szCs w:val="21"/>
        <w:u w:val="none" w:color="000000"/>
        <w:effect w:val="none"/>
        <w:bdr w:val="none" w:sz="0" w:space="0" w:color="auto" w:frame="1"/>
        <w:vertAlign w:val="baseline"/>
      </w:rPr>
    </w:lvl>
  </w:abstractNum>
  <w:abstractNum w:abstractNumId="16" w15:restartNumberingAfterBreak="0">
    <w:nsid w:val="68136142"/>
    <w:multiLevelType w:val="hybridMultilevel"/>
    <w:tmpl w:val="AC3E5EA6"/>
    <w:lvl w:ilvl="0" w:tplc="4E243F46">
      <w:start w:val="1"/>
      <w:numFmt w:val="decimal"/>
      <w:pStyle w:val="Condition"/>
      <w:lvlText w:val="%1."/>
      <w:lvlJc w:val="left"/>
      <w:pPr>
        <w:ind w:left="720" w:hanging="360"/>
      </w:pPr>
    </w:lvl>
    <w:lvl w:ilvl="1" w:tplc="E08E2C34" w:tentative="1">
      <w:start w:val="1"/>
      <w:numFmt w:val="lowerLetter"/>
      <w:lvlText w:val="%2."/>
      <w:lvlJc w:val="left"/>
      <w:pPr>
        <w:ind w:left="1440" w:hanging="360"/>
      </w:pPr>
    </w:lvl>
    <w:lvl w:ilvl="2" w:tplc="13505260" w:tentative="1">
      <w:start w:val="1"/>
      <w:numFmt w:val="lowerRoman"/>
      <w:lvlText w:val="%3."/>
      <w:lvlJc w:val="right"/>
      <w:pPr>
        <w:ind w:left="2160" w:hanging="180"/>
      </w:pPr>
    </w:lvl>
    <w:lvl w:ilvl="3" w:tplc="BD785A7C" w:tentative="1">
      <w:start w:val="1"/>
      <w:numFmt w:val="decimal"/>
      <w:lvlText w:val="%4."/>
      <w:lvlJc w:val="left"/>
      <w:pPr>
        <w:ind w:left="2880" w:hanging="360"/>
      </w:pPr>
    </w:lvl>
    <w:lvl w:ilvl="4" w:tplc="DFAC7F66" w:tentative="1">
      <w:start w:val="1"/>
      <w:numFmt w:val="lowerLetter"/>
      <w:lvlText w:val="%5."/>
      <w:lvlJc w:val="left"/>
      <w:pPr>
        <w:ind w:left="3600" w:hanging="360"/>
      </w:pPr>
    </w:lvl>
    <w:lvl w:ilvl="5" w:tplc="D8ACD2D6" w:tentative="1">
      <w:start w:val="1"/>
      <w:numFmt w:val="lowerRoman"/>
      <w:lvlText w:val="%6."/>
      <w:lvlJc w:val="right"/>
      <w:pPr>
        <w:ind w:left="4320" w:hanging="180"/>
      </w:pPr>
    </w:lvl>
    <w:lvl w:ilvl="6" w:tplc="04B6032A" w:tentative="1">
      <w:start w:val="1"/>
      <w:numFmt w:val="decimal"/>
      <w:lvlText w:val="%7."/>
      <w:lvlJc w:val="left"/>
      <w:pPr>
        <w:ind w:left="5040" w:hanging="360"/>
      </w:pPr>
    </w:lvl>
    <w:lvl w:ilvl="7" w:tplc="B5506AE8" w:tentative="1">
      <w:start w:val="1"/>
      <w:numFmt w:val="lowerLetter"/>
      <w:lvlText w:val="%8."/>
      <w:lvlJc w:val="left"/>
      <w:pPr>
        <w:ind w:left="5760" w:hanging="360"/>
      </w:pPr>
    </w:lvl>
    <w:lvl w:ilvl="8" w:tplc="B55E6994" w:tentative="1">
      <w:start w:val="1"/>
      <w:numFmt w:val="lowerRoman"/>
      <w:lvlText w:val="%9."/>
      <w:lvlJc w:val="right"/>
      <w:pPr>
        <w:ind w:left="6480" w:hanging="180"/>
      </w:pPr>
    </w:lvl>
  </w:abstractNum>
  <w:abstractNum w:abstractNumId="17" w15:restartNumberingAfterBreak="0">
    <w:nsid w:val="6D477E11"/>
    <w:multiLevelType w:val="hybridMultilevel"/>
    <w:tmpl w:val="4BE2924E"/>
    <w:lvl w:ilvl="0" w:tplc="3AAA14A0">
      <w:start w:val="1"/>
      <w:numFmt w:val="decimal"/>
      <w:lvlText w:val="%1."/>
      <w:lvlJc w:val="left"/>
      <w:pPr>
        <w:tabs>
          <w:tab w:val="num" w:pos="720"/>
        </w:tabs>
        <w:ind w:left="720" w:hanging="360"/>
      </w:pPr>
    </w:lvl>
    <w:lvl w:ilvl="1" w:tplc="A9801404">
      <w:start w:val="1"/>
      <w:numFmt w:val="lowerLetter"/>
      <w:lvlText w:val="%2."/>
      <w:lvlJc w:val="right"/>
      <w:pPr>
        <w:tabs>
          <w:tab w:val="num" w:pos="1440"/>
        </w:tabs>
        <w:ind w:left="1440" w:hanging="360"/>
      </w:pPr>
    </w:lvl>
    <w:lvl w:ilvl="2" w:tplc="4D3A16A6" w:tentative="1">
      <w:start w:val="1"/>
      <w:numFmt w:val="decimal"/>
      <w:lvlText w:val="%3."/>
      <w:lvlJc w:val="left"/>
      <w:pPr>
        <w:tabs>
          <w:tab w:val="num" w:pos="2160"/>
        </w:tabs>
        <w:ind w:left="2160" w:hanging="360"/>
      </w:pPr>
    </w:lvl>
    <w:lvl w:ilvl="3" w:tplc="24E4CB5A" w:tentative="1">
      <w:start w:val="1"/>
      <w:numFmt w:val="decimal"/>
      <w:lvlText w:val="%4."/>
      <w:lvlJc w:val="left"/>
      <w:pPr>
        <w:tabs>
          <w:tab w:val="num" w:pos="2880"/>
        </w:tabs>
        <w:ind w:left="2880" w:hanging="360"/>
      </w:pPr>
    </w:lvl>
    <w:lvl w:ilvl="4" w:tplc="F3B647F2" w:tentative="1">
      <w:start w:val="1"/>
      <w:numFmt w:val="decimal"/>
      <w:lvlText w:val="%5."/>
      <w:lvlJc w:val="left"/>
      <w:pPr>
        <w:tabs>
          <w:tab w:val="num" w:pos="3600"/>
        </w:tabs>
        <w:ind w:left="3600" w:hanging="360"/>
      </w:pPr>
    </w:lvl>
    <w:lvl w:ilvl="5" w:tplc="78DE7394" w:tentative="1">
      <w:start w:val="1"/>
      <w:numFmt w:val="decimal"/>
      <w:lvlText w:val="%6."/>
      <w:lvlJc w:val="left"/>
      <w:pPr>
        <w:tabs>
          <w:tab w:val="num" w:pos="4320"/>
        </w:tabs>
        <w:ind w:left="4320" w:hanging="360"/>
      </w:pPr>
    </w:lvl>
    <w:lvl w:ilvl="6" w:tplc="8B0A9B68" w:tentative="1">
      <w:start w:val="1"/>
      <w:numFmt w:val="decimal"/>
      <w:lvlText w:val="%7."/>
      <w:lvlJc w:val="left"/>
      <w:pPr>
        <w:tabs>
          <w:tab w:val="num" w:pos="5040"/>
        </w:tabs>
        <w:ind w:left="5040" w:hanging="360"/>
      </w:pPr>
    </w:lvl>
    <w:lvl w:ilvl="7" w:tplc="7EAC0C6E" w:tentative="1">
      <w:start w:val="1"/>
      <w:numFmt w:val="decimal"/>
      <w:lvlText w:val="%8."/>
      <w:lvlJc w:val="left"/>
      <w:pPr>
        <w:tabs>
          <w:tab w:val="num" w:pos="5760"/>
        </w:tabs>
        <w:ind w:left="5760" w:hanging="360"/>
      </w:pPr>
    </w:lvl>
    <w:lvl w:ilvl="8" w:tplc="394A479E" w:tentative="1">
      <w:start w:val="1"/>
      <w:numFmt w:val="decimal"/>
      <w:lvlText w:val="%9."/>
      <w:lvlJc w:val="left"/>
      <w:pPr>
        <w:tabs>
          <w:tab w:val="num" w:pos="6480"/>
        </w:tabs>
        <w:ind w:left="6480" w:hanging="360"/>
      </w:pPr>
    </w:lvl>
  </w:abstractNum>
  <w:abstractNum w:abstractNumId="18"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6E3506"/>
    <w:multiLevelType w:val="hybridMultilevel"/>
    <w:tmpl w:val="D82470D4"/>
    <w:lvl w:ilvl="0" w:tplc="DAB4A76A">
      <w:start w:val="27"/>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082C29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CAEC0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422932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E589E2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1E4ED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2BE4B5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904140">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F8AD1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7EF970CF"/>
    <w:multiLevelType w:val="hybridMultilevel"/>
    <w:tmpl w:val="B9D83FCA"/>
    <w:lvl w:ilvl="0" w:tplc="DD048C0E">
      <w:start w:val="1"/>
      <w:numFmt w:val="lowerLetter"/>
      <w:pStyle w:val="Sub-condition"/>
      <w:lvlText w:val="(%1)"/>
      <w:lvlJc w:val="left"/>
      <w:pPr>
        <w:ind w:left="720" w:hanging="360"/>
      </w:pPr>
      <w:rPr>
        <w:rFonts w:hint="default"/>
      </w:rPr>
    </w:lvl>
    <w:lvl w:ilvl="1" w:tplc="578AA5A4" w:tentative="1">
      <w:start w:val="1"/>
      <w:numFmt w:val="lowerLetter"/>
      <w:lvlText w:val="%2."/>
      <w:lvlJc w:val="left"/>
      <w:pPr>
        <w:ind w:left="1440" w:hanging="360"/>
      </w:pPr>
    </w:lvl>
    <w:lvl w:ilvl="2" w:tplc="F6024D02" w:tentative="1">
      <w:start w:val="1"/>
      <w:numFmt w:val="lowerRoman"/>
      <w:lvlText w:val="%3."/>
      <w:lvlJc w:val="right"/>
      <w:pPr>
        <w:ind w:left="2160" w:hanging="180"/>
      </w:pPr>
    </w:lvl>
    <w:lvl w:ilvl="3" w:tplc="D97AC854" w:tentative="1">
      <w:start w:val="1"/>
      <w:numFmt w:val="decimal"/>
      <w:lvlText w:val="%4."/>
      <w:lvlJc w:val="left"/>
      <w:pPr>
        <w:ind w:left="2880" w:hanging="360"/>
      </w:pPr>
    </w:lvl>
    <w:lvl w:ilvl="4" w:tplc="E5EC5642" w:tentative="1">
      <w:start w:val="1"/>
      <w:numFmt w:val="lowerLetter"/>
      <w:lvlText w:val="%5."/>
      <w:lvlJc w:val="left"/>
      <w:pPr>
        <w:ind w:left="3600" w:hanging="360"/>
      </w:pPr>
    </w:lvl>
    <w:lvl w:ilvl="5" w:tplc="9030F4DC" w:tentative="1">
      <w:start w:val="1"/>
      <w:numFmt w:val="lowerRoman"/>
      <w:lvlText w:val="%6."/>
      <w:lvlJc w:val="right"/>
      <w:pPr>
        <w:ind w:left="4320" w:hanging="180"/>
      </w:pPr>
    </w:lvl>
    <w:lvl w:ilvl="6" w:tplc="2918FC12" w:tentative="1">
      <w:start w:val="1"/>
      <w:numFmt w:val="decimal"/>
      <w:lvlText w:val="%7."/>
      <w:lvlJc w:val="left"/>
      <w:pPr>
        <w:ind w:left="5040" w:hanging="360"/>
      </w:pPr>
    </w:lvl>
    <w:lvl w:ilvl="7" w:tplc="E93E8460" w:tentative="1">
      <w:start w:val="1"/>
      <w:numFmt w:val="lowerLetter"/>
      <w:lvlText w:val="%8."/>
      <w:lvlJc w:val="left"/>
      <w:pPr>
        <w:ind w:left="5760" w:hanging="360"/>
      </w:pPr>
    </w:lvl>
    <w:lvl w:ilvl="8" w:tplc="D032A29A" w:tentative="1">
      <w:start w:val="1"/>
      <w:numFmt w:val="lowerRoman"/>
      <w:lvlText w:val="%9."/>
      <w:lvlJc w:val="right"/>
      <w:pPr>
        <w:ind w:left="6480" w:hanging="180"/>
      </w:pPr>
    </w:lvl>
  </w:abstractNum>
  <w:abstractNum w:abstractNumId="21" w15:restartNumberingAfterBreak="0">
    <w:nsid w:val="7F0A08FF"/>
    <w:multiLevelType w:val="singleLevel"/>
    <w:tmpl w:val="77C2B6A8"/>
    <w:lvl w:ilvl="0">
      <w:start w:val="1"/>
      <w:numFmt w:val="lowerLetter"/>
      <w:lvlText w:val="%1)"/>
      <w:lvlJc w:val="left"/>
      <w:pPr>
        <w:tabs>
          <w:tab w:val="num" w:pos="360"/>
        </w:tabs>
        <w:ind w:left="360" w:hanging="360"/>
      </w:pPr>
      <w:rPr>
        <w:rFonts w:ascii="Calibri" w:eastAsia="Times New Roman" w:hAnsi="Calibri" w:cs="Times New Roman"/>
      </w:rPr>
    </w:lvl>
  </w:abstractNum>
  <w:num w:numId="1">
    <w:abstractNumId w:val="2"/>
  </w:num>
  <w:num w:numId="2">
    <w:abstractNumId w:val="4"/>
  </w:num>
  <w:num w:numId="3">
    <w:abstractNumId w:val="1"/>
  </w:num>
  <w:num w:numId="4">
    <w:abstractNumId w:val="8"/>
  </w:num>
  <w:num w:numId="5">
    <w:abstractNumId w:val="18"/>
  </w:num>
  <w:num w:numId="6">
    <w:abstractNumId w:val="11"/>
  </w:num>
  <w:num w:numId="7">
    <w:abstractNumId w:val="16"/>
  </w:num>
  <w:num w:numId="8">
    <w:abstractNumId w:val="20"/>
  </w:num>
  <w:num w:numId="9">
    <w:abstractNumId w:val="12"/>
  </w:num>
  <w:num w:numId="10">
    <w:abstractNumId w:val="5"/>
  </w:num>
  <w:num w:numId="11">
    <w:abstractNumId w:val="19"/>
  </w:num>
  <w:num w:numId="12">
    <w:abstractNumId w:val="13"/>
    <w:lvlOverride w:ilvl="0">
      <w:startOverride w:val="26"/>
    </w:lvlOverride>
  </w:num>
  <w:num w:numId="13">
    <w:abstractNumId w:val="13"/>
    <w:lvlOverride w:ilvl="0"/>
    <w:lvlOverride w:ilvl="1">
      <w:startOverride w:val="1"/>
    </w:lvlOverride>
  </w:num>
  <w:num w:numId="14">
    <w:abstractNumId w:val="13"/>
    <w:lvlOverride w:ilvl="0"/>
    <w:lvlOverride w:ilvl="1">
      <w:startOverride w:val="2"/>
    </w:lvlOverride>
  </w:num>
  <w:num w:numId="15">
    <w:abstractNumId w:val="7"/>
    <w:lvlOverride w:ilvl="1">
      <w:startOverride w:val="100"/>
    </w:lvlOverride>
  </w:num>
  <w:num w:numId="16">
    <w:abstractNumId w:val="17"/>
    <w:lvlOverride w:ilvl="1">
      <w:startOverride w:val="4"/>
    </w:lvlOverride>
  </w:num>
  <w:num w:numId="17">
    <w:abstractNumId w:val="17"/>
    <w:lvlOverride w:ilvl="1">
      <w:startOverride w:val="5"/>
    </w:lvlOverride>
  </w:num>
  <w:num w:numId="18">
    <w:abstractNumId w:val="17"/>
    <w:lvlOverride w:ilvl="0">
      <w:startOverride w:val="27"/>
    </w:lvlOverride>
    <w:lvlOverride w:ilvl="1"/>
  </w:num>
  <w:num w:numId="19">
    <w:abstractNumId w:val="17"/>
    <w:lvlOverride w:ilvl="0">
      <w:startOverride w:val="28"/>
    </w:lvlOverride>
    <w:lvlOverride w:ilvl="1"/>
  </w:num>
  <w:num w:numId="20">
    <w:abstractNumId w:val="17"/>
    <w:lvlOverride w:ilvl="0">
      <w:startOverride w:val="29"/>
    </w:lvlOverride>
    <w:lvlOverride w:ilvl="1"/>
  </w:num>
  <w:num w:numId="21">
    <w:abstractNumId w:val="17"/>
    <w:lvlOverride w:ilvl="0">
      <w:startOverride w:val="30"/>
    </w:lvlOverride>
    <w:lvlOverride w:ilvl="1"/>
  </w:num>
  <w:num w:numId="22">
    <w:abstractNumId w:val="15"/>
  </w:num>
  <w:num w:numId="23">
    <w:abstractNumId w:val="19"/>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73"/>
    </w:lvlOverride>
    <w:lvlOverride w:ilvl="1">
      <w:startOverride w:val="2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9"/>
    <w:lvlOverride w:ilvl="0">
      <w:startOverride w:val="1"/>
    </w:lvlOverride>
  </w:num>
  <w:num w:numId="27">
    <w:abstractNumId w:val="21"/>
    <w:lvlOverride w:ilvl="0">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zupN6G8WAwXuQA9uBX0d4MKg8ENu+Ul8l4oANWj1vFCCISFyklU58VVDtNnXsiRyyS4zGOBd21kdVv/HEHVFzQ==" w:salt="cBLHLrax1N2Gm0Nu3ZOTxg=="/>
  <w:defaultTabStop w:val="284"/>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B4EE06A-CEF8-4826-900E-79CFC1837AAE}"/>
    <w:docVar w:name="dgnword-eventsink" w:val="508806832"/>
    <w:docVar w:name="VCAT Seal" w:val="True"/>
  </w:docVars>
  <w:rsids>
    <w:rsidRoot w:val="00A35A81"/>
    <w:rsid w:val="00001257"/>
    <w:rsid w:val="000113BF"/>
    <w:rsid w:val="000125F7"/>
    <w:rsid w:val="000176ED"/>
    <w:rsid w:val="00020D2B"/>
    <w:rsid w:val="0003270E"/>
    <w:rsid w:val="00036B56"/>
    <w:rsid w:val="00036F88"/>
    <w:rsid w:val="00041247"/>
    <w:rsid w:val="000414D6"/>
    <w:rsid w:val="000423F0"/>
    <w:rsid w:val="000450C2"/>
    <w:rsid w:val="000471C4"/>
    <w:rsid w:val="00052A97"/>
    <w:rsid w:val="00056C20"/>
    <w:rsid w:val="00066115"/>
    <w:rsid w:val="0007198D"/>
    <w:rsid w:val="000728B9"/>
    <w:rsid w:val="00075447"/>
    <w:rsid w:val="0008388B"/>
    <w:rsid w:val="00083B7B"/>
    <w:rsid w:val="00083B93"/>
    <w:rsid w:val="00084C68"/>
    <w:rsid w:val="00084C9A"/>
    <w:rsid w:val="00086C33"/>
    <w:rsid w:val="00091384"/>
    <w:rsid w:val="00091B51"/>
    <w:rsid w:val="00092805"/>
    <w:rsid w:val="00093595"/>
    <w:rsid w:val="0009585F"/>
    <w:rsid w:val="00095F27"/>
    <w:rsid w:val="00096BF7"/>
    <w:rsid w:val="000A11E3"/>
    <w:rsid w:val="000A3014"/>
    <w:rsid w:val="000A4442"/>
    <w:rsid w:val="000A7428"/>
    <w:rsid w:val="000B0167"/>
    <w:rsid w:val="000B13C8"/>
    <w:rsid w:val="000B3633"/>
    <w:rsid w:val="000B39D3"/>
    <w:rsid w:val="000B3F6F"/>
    <w:rsid w:val="000B7EC5"/>
    <w:rsid w:val="000C29B1"/>
    <w:rsid w:val="000D4002"/>
    <w:rsid w:val="000D4841"/>
    <w:rsid w:val="000D4DBC"/>
    <w:rsid w:val="000F32A8"/>
    <w:rsid w:val="000F5F88"/>
    <w:rsid w:val="000F7E4C"/>
    <w:rsid w:val="001038D1"/>
    <w:rsid w:val="0010571E"/>
    <w:rsid w:val="00106769"/>
    <w:rsid w:val="00110890"/>
    <w:rsid w:val="0011109D"/>
    <w:rsid w:val="00112F7A"/>
    <w:rsid w:val="00113797"/>
    <w:rsid w:val="00117D79"/>
    <w:rsid w:val="00125A72"/>
    <w:rsid w:val="00131A7C"/>
    <w:rsid w:val="00133F53"/>
    <w:rsid w:val="00136C3D"/>
    <w:rsid w:val="0013782C"/>
    <w:rsid w:val="001411CD"/>
    <w:rsid w:val="00142744"/>
    <w:rsid w:val="00145C47"/>
    <w:rsid w:val="0014682B"/>
    <w:rsid w:val="00147209"/>
    <w:rsid w:val="001505C7"/>
    <w:rsid w:val="00153338"/>
    <w:rsid w:val="00153FBE"/>
    <w:rsid w:val="00156C04"/>
    <w:rsid w:val="00167194"/>
    <w:rsid w:val="00177BA5"/>
    <w:rsid w:val="00184D96"/>
    <w:rsid w:val="00192B33"/>
    <w:rsid w:val="00193674"/>
    <w:rsid w:val="00195C6F"/>
    <w:rsid w:val="00196C6F"/>
    <w:rsid w:val="00196DCC"/>
    <w:rsid w:val="001A0909"/>
    <w:rsid w:val="001A2EA3"/>
    <w:rsid w:val="001B5C8E"/>
    <w:rsid w:val="001C2FEA"/>
    <w:rsid w:val="001C5724"/>
    <w:rsid w:val="001D283F"/>
    <w:rsid w:val="001D2E9D"/>
    <w:rsid w:val="001D2FBF"/>
    <w:rsid w:val="001D7FA2"/>
    <w:rsid w:val="001E0E1D"/>
    <w:rsid w:val="001E3619"/>
    <w:rsid w:val="001E6308"/>
    <w:rsid w:val="001E635D"/>
    <w:rsid w:val="001E7B0D"/>
    <w:rsid w:val="001E7ECE"/>
    <w:rsid w:val="001F286D"/>
    <w:rsid w:val="001F5A32"/>
    <w:rsid w:val="0020009D"/>
    <w:rsid w:val="00202223"/>
    <w:rsid w:val="00205859"/>
    <w:rsid w:val="00213A02"/>
    <w:rsid w:val="00221A8C"/>
    <w:rsid w:val="00227ABC"/>
    <w:rsid w:val="0023176E"/>
    <w:rsid w:val="00237005"/>
    <w:rsid w:val="00254DA1"/>
    <w:rsid w:val="00255204"/>
    <w:rsid w:val="00256752"/>
    <w:rsid w:val="0027127B"/>
    <w:rsid w:val="002763CA"/>
    <w:rsid w:val="002816ED"/>
    <w:rsid w:val="00281B92"/>
    <w:rsid w:val="0028357E"/>
    <w:rsid w:val="00284734"/>
    <w:rsid w:val="002917ED"/>
    <w:rsid w:val="00296080"/>
    <w:rsid w:val="002967E2"/>
    <w:rsid w:val="00297390"/>
    <w:rsid w:val="002A068A"/>
    <w:rsid w:val="002A1E4E"/>
    <w:rsid w:val="002A46D5"/>
    <w:rsid w:val="002A599D"/>
    <w:rsid w:val="002B046B"/>
    <w:rsid w:val="002B0697"/>
    <w:rsid w:val="002B1320"/>
    <w:rsid w:val="002B4273"/>
    <w:rsid w:val="002B4B7C"/>
    <w:rsid w:val="002B6A13"/>
    <w:rsid w:val="002B77A5"/>
    <w:rsid w:val="002C0C6F"/>
    <w:rsid w:val="002C18FF"/>
    <w:rsid w:val="002C63E1"/>
    <w:rsid w:val="002D441D"/>
    <w:rsid w:val="002D55A3"/>
    <w:rsid w:val="002E10A6"/>
    <w:rsid w:val="002F31C6"/>
    <w:rsid w:val="003056D2"/>
    <w:rsid w:val="003074D3"/>
    <w:rsid w:val="00307546"/>
    <w:rsid w:val="003114FE"/>
    <w:rsid w:val="00317FC4"/>
    <w:rsid w:val="00330EFC"/>
    <w:rsid w:val="0033728F"/>
    <w:rsid w:val="00340F63"/>
    <w:rsid w:val="003447E9"/>
    <w:rsid w:val="00345370"/>
    <w:rsid w:val="00346625"/>
    <w:rsid w:val="00346B46"/>
    <w:rsid w:val="00347104"/>
    <w:rsid w:val="00347316"/>
    <w:rsid w:val="003530E5"/>
    <w:rsid w:val="00357020"/>
    <w:rsid w:val="0036023B"/>
    <w:rsid w:val="00360808"/>
    <w:rsid w:val="00363D42"/>
    <w:rsid w:val="00364878"/>
    <w:rsid w:val="00365911"/>
    <w:rsid w:val="0036723C"/>
    <w:rsid w:val="00373202"/>
    <w:rsid w:val="00376D22"/>
    <w:rsid w:val="00377D2A"/>
    <w:rsid w:val="00383357"/>
    <w:rsid w:val="00385C9F"/>
    <w:rsid w:val="003878D8"/>
    <w:rsid w:val="00387979"/>
    <w:rsid w:val="003900D6"/>
    <w:rsid w:val="003913A9"/>
    <w:rsid w:val="003918FB"/>
    <w:rsid w:val="0039525C"/>
    <w:rsid w:val="00395A83"/>
    <w:rsid w:val="003A4300"/>
    <w:rsid w:val="003B119B"/>
    <w:rsid w:val="003B2936"/>
    <w:rsid w:val="003B2D98"/>
    <w:rsid w:val="003B63CE"/>
    <w:rsid w:val="003B63E5"/>
    <w:rsid w:val="003B7D3B"/>
    <w:rsid w:val="003C11C3"/>
    <w:rsid w:val="003C15B1"/>
    <w:rsid w:val="003C2315"/>
    <w:rsid w:val="003C3993"/>
    <w:rsid w:val="003C7E83"/>
    <w:rsid w:val="003D2961"/>
    <w:rsid w:val="003D37E0"/>
    <w:rsid w:val="003D5109"/>
    <w:rsid w:val="003D5C92"/>
    <w:rsid w:val="003E2A5A"/>
    <w:rsid w:val="003E4693"/>
    <w:rsid w:val="003E71C9"/>
    <w:rsid w:val="003E762F"/>
    <w:rsid w:val="003F0557"/>
    <w:rsid w:val="003F496E"/>
    <w:rsid w:val="003F73FE"/>
    <w:rsid w:val="0041149D"/>
    <w:rsid w:val="004128AC"/>
    <w:rsid w:val="00412D07"/>
    <w:rsid w:val="00414B23"/>
    <w:rsid w:val="00415FEE"/>
    <w:rsid w:val="00425740"/>
    <w:rsid w:val="00431250"/>
    <w:rsid w:val="0043348F"/>
    <w:rsid w:val="004402C3"/>
    <w:rsid w:val="004428C6"/>
    <w:rsid w:val="00442DD4"/>
    <w:rsid w:val="00442EF4"/>
    <w:rsid w:val="00447714"/>
    <w:rsid w:val="00460702"/>
    <w:rsid w:val="00461BA6"/>
    <w:rsid w:val="004628A1"/>
    <w:rsid w:val="00462DB3"/>
    <w:rsid w:val="00462F83"/>
    <w:rsid w:val="004636E8"/>
    <w:rsid w:val="004636ED"/>
    <w:rsid w:val="00470503"/>
    <w:rsid w:val="00470EA4"/>
    <w:rsid w:val="004723DB"/>
    <w:rsid w:val="0047511F"/>
    <w:rsid w:val="00475BF5"/>
    <w:rsid w:val="0047635D"/>
    <w:rsid w:val="00481821"/>
    <w:rsid w:val="00482EDF"/>
    <w:rsid w:val="0048601A"/>
    <w:rsid w:val="0049182D"/>
    <w:rsid w:val="004967F2"/>
    <w:rsid w:val="004A06F4"/>
    <w:rsid w:val="004A1C83"/>
    <w:rsid w:val="004A1FDE"/>
    <w:rsid w:val="004A3A4F"/>
    <w:rsid w:val="004A3F64"/>
    <w:rsid w:val="004A5C60"/>
    <w:rsid w:val="004A6C28"/>
    <w:rsid w:val="004A70BC"/>
    <w:rsid w:val="004B3EDB"/>
    <w:rsid w:val="004C1620"/>
    <w:rsid w:val="004C29A6"/>
    <w:rsid w:val="004C2D35"/>
    <w:rsid w:val="004C4068"/>
    <w:rsid w:val="004C59CD"/>
    <w:rsid w:val="004C6F52"/>
    <w:rsid w:val="004D392A"/>
    <w:rsid w:val="004D479B"/>
    <w:rsid w:val="004D4A33"/>
    <w:rsid w:val="004D4D67"/>
    <w:rsid w:val="004D592D"/>
    <w:rsid w:val="004D643D"/>
    <w:rsid w:val="004D7158"/>
    <w:rsid w:val="004E19C2"/>
    <w:rsid w:val="004E19D1"/>
    <w:rsid w:val="004E1BB0"/>
    <w:rsid w:val="004E488B"/>
    <w:rsid w:val="004F2335"/>
    <w:rsid w:val="004F6E65"/>
    <w:rsid w:val="0050240C"/>
    <w:rsid w:val="00505E82"/>
    <w:rsid w:val="00507AA6"/>
    <w:rsid w:val="00510A5C"/>
    <w:rsid w:val="00512A32"/>
    <w:rsid w:val="00513B88"/>
    <w:rsid w:val="00516690"/>
    <w:rsid w:val="005171D3"/>
    <w:rsid w:val="0052019F"/>
    <w:rsid w:val="005241F0"/>
    <w:rsid w:val="00525907"/>
    <w:rsid w:val="00525E78"/>
    <w:rsid w:val="00530949"/>
    <w:rsid w:val="00531531"/>
    <w:rsid w:val="00534EC8"/>
    <w:rsid w:val="00535C0A"/>
    <w:rsid w:val="00540980"/>
    <w:rsid w:val="00542F42"/>
    <w:rsid w:val="00547D3A"/>
    <w:rsid w:val="00555CFA"/>
    <w:rsid w:val="0056222D"/>
    <w:rsid w:val="00562610"/>
    <w:rsid w:val="00564327"/>
    <w:rsid w:val="00566548"/>
    <w:rsid w:val="005678F5"/>
    <w:rsid w:val="00575959"/>
    <w:rsid w:val="00580D8A"/>
    <w:rsid w:val="00583849"/>
    <w:rsid w:val="00585154"/>
    <w:rsid w:val="005858E5"/>
    <w:rsid w:val="005861A3"/>
    <w:rsid w:val="00587B47"/>
    <w:rsid w:val="00591E01"/>
    <w:rsid w:val="00592AC4"/>
    <w:rsid w:val="005A20F0"/>
    <w:rsid w:val="005A2F39"/>
    <w:rsid w:val="005B05DF"/>
    <w:rsid w:val="005B0F9C"/>
    <w:rsid w:val="005B1D5B"/>
    <w:rsid w:val="005C0A78"/>
    <w:rsid w:val="005C0BCD"/>
    <w:rsid w:val="005C267F"/>
    <w:rsid w:val="005C2CC4"/>
    <w:rsid w:val="005C42F4"/>
    <w:rsid w:val="005C5646"/>
    <w:rsid w:val="005D00F7"/>
    <w:rsid w:val="005D418B"/>
    <w:rsid w:val="005D50CE"/>
    <w:rsid w:val="005E0A6E"/>
    <w:rsid w:val="005E1505"/>
    <w:rsid w:val="005F161D"/>
    <w:rsid w:val="005F26C1"/>
    <w:rsid w:val="005F2EF2"/>
    <w:rsid w:val="005F657C"/>
    <w:rsid w:val="005F74DC"/>
    <w:rsid w:val="00602E8E"/>
    <w:rsid w:val="00604DAC"/>
    <w:rsid w:val="00610415"/>
    <w:rsid w:val="00611E35"/>
    <w:rsid w:val="00616576"/>
    <w:rsid w:val="00620FD1"/>
    <w:rsid w:val="00621021"/>
    <w:rsid w:val="006323F4"/>
    <w:rsid w:val="0063417A"/>
    <w:rsid w:val="0063530D"/>
    <w:rsid w:val="0063586E"/>
    <w:rsid w:val="00636377"/>
    <w:rsid w:val="006400A9"/>
    <w:rsid w:val="00643D7A"/>
    <w:rsid w:val="00653922"/>
    <w:rsid w:val="0066140D"/>
    <w:rsid w:val="00662B43"/>
    <w:rsid w:val="006632C9"/>
    <w:rsid w:val="00671609"/>
    <w:rsid w:val="00675FD2"/>
    <w:rsid w:val="00693AFE"/>
    <w:rsid w:val="006A200D"/>
    <w:rsid w:val="006A6825"/>
    <w:rsid w:val="006C3407"/>
    <w:rsid w:val="006C3FBA"/>
    <w:rsid w:val="006C659E"/>
    <w:rsid w:val="006C7BBD"/>
    <w:rsid w:val="006D08F2"/>
    <w:rsid w:val="006D727E"/>
    <w:rsid w:val="006E2437"/>
    <w:rsid w:val="006E3CC4"/>
    <w:rsid w:val="006E5724"/>
    <w:rsid w:val="006E5743"/>
    <w:rsid w:val="006E577D"/>
    <w:rsid w:val="00702ACD"/>
    <w:rsid w:val="00705917"/>
    <w:rsid w:val="00707FAD"/>
    <w:rsid w:val="007104F2"/>
    <w:rsid w:val="007132D2"/>
    <w:rsid w:val="007137A5"/>
    <w:rsid w:val="00714E42"/>
    <w:rsid w:val="00715E14"/>
    <w:rsid w:val="007172C8"/>
    <w:rsid w:val="00720581"/>
    <w:rsid w:val="00720C80"/>
    <w:rsid w:val="007213E2"/>
    <w:rsid w:val="00721E5F"/>
    <w:rsid w:val="00722296"/>
    <w:rsid w:val="007238E8"/>
    <w:rsid w:val="00724300"/>
    <w:rsid w:val="00725553"/>
    <w:rsid w:val="00726833"/>
    <w:rsid w:val="0073483F"/>
    <w:rsid w:val="007428F5"/>
    <w:rsid w:val="00742B8C"/>
    <w:rsid w:val="00745B4E"/>
    <w:rsid w:val="00745C55"/>
    <w:rsid w:val="00746DF6"/>
    <w:rsid w:val="007470C6"/>
    <w:rsid w:val="0075070F"/>
    <w:rsid w:val="0075360D"/>
    <w:rsid w:val="00755FAD"/>
    <w:rsid w:val="007608A1"/>
    <w:rsid w:val="00763162"/>
    <w:rsid w:val="007667EC"/>
    <w:rsid w:val="00776432"/>
    <w:rsid w:val="00784256"/>
    <w:rsid w:val="0078760C"/>
    <w:rsid w:val="00793639"/>
    <w:rsid w:val="00794FF1"/>
    <w:rsid w:val="00796275"/>
    <w:rsid w:val="00796DEB"/>
    <w:rsid w:val="007A0069"/>
    <w:rsid w:val="007A3091"/>
    <w:rsid w:val="007A3EBD"/>
    <w:rsid w:val="007A59FC"/>
    <w:rsid w:val="007B0DA4"/>
    <w:rsid w:val="007B7F2C"/>
    <w:rsid w:val="007C3112"/>
    <w:rsid w:val="007D172B"/>
    <w:rsid w:val="007D1FF3"/>
    <w:rsid w:val="007D214F"/>
    <w:rsid w:val="007E09CF"/>
    <w:rsid w:val="007E49AC"/>
    <w:rsid w:val="007F4CF6"/>
    <w:rsid w:val="008063B0"/>
    <w:rsid w:val="00806E9E"/>
    <w:rsid w:val="008114EB"/>
    <w:rsid w:val="008147DE"/>
    <w:rsid w:val="00826391"/>
    <w:rsid w:val="00826848"/>
    <w:rsid w:val="00827834"/>
    <w:rsid w:val="00827D3E"/>
    <w:rsid w:val="0083552E"/>
    <w:rsid w:val="00836157"/>
    <w:rsid w:val="00836B0C"/>
    <w:rsid w:val="00840C36"/>
    <w:rsid w:val="00843C3D"/>
    <w:rsid w:val="00845742"/>
    <w:rsid w:val="008459BA"/>
    <w:rsid w:val="00847212"/>
    <w:rsid w:val="008529EA"/>
    <w:rsid w:val="00852F84"/>
    <w:rsid w:val="00855FFE"/>
    <w:rsid w:val="0085737B"/>
    <w:rsid w:val="00860608"/>
    <w:rsid w:val="00867DB2"/>
    <w:rsid w:val="0087108B"/>
    <w:rsid w:val="0087450D"/>
    <w:rsid w:val="008779F0"/>
    <w:rsid w:val="0088026B"/>
    <w:rsid w:val="00880B5B"/>
    <w:rsid w:val="00881259"/>
    <w:rsid w:val="00881964"/>
    <w:rsid w:val="00886D65"/>
    <w:rsid w:val="00890E0E"/>
    <w:rsid w:val="00893C4F"/>
    <w:rsid w:val="00894D85"/>
    <w:rsid w:val="00895DB8"/>
    <w:rsid w:val="00895DDF"/>
    <w:rsid w:val="00896614"/>
    <w:rsid w:val="008977F7"/>
    <w:rsid w:val="008A230E"/>
    <w:rsid w:val="008A55B8"/>
    <w:rsid w:val="008B0D66"/>
    <w:rsid w:val="008B0D6B"/>
    <w:rsid w:val="008B6055"/>
    <w:rsid w:val="008B7BCB"/>
    <w:rsid w:val="008C1D23"/>
    <w:rsid w:val="008C543F"/>
    <w:rsid w:val="008C7F1B"/>
    <w:rsid w:val="008D5958"/>
    <w:rsid w:val="008D5B11"/>
    <w:rsid w:val="008D69BE"/>
    <w:rsid w:val="008E1E71"/>
    <w:rsid w:val="008E2199"/>
    <w:rsid w:val="008E53F4"/>
    <w:rsid w:val="008F380F"/>
    <w:rsid w:val="008F7A1B"/>
    <w:rsid w:val="00902137"/>
    <w:rsid w:val="009134F0"/>
    <w:rsid w:val="0092043D"/>
    <w:rsid w:val="00920525"/>
    <w:rsid w:val="00923412"/>
    <w:rsid w:val="00927424"/>
    <w:rsid w:val="00931F5B"/>
    <w:rsid w:val="009336AB"/>
    <w:rsid w:val="0093427E"/>
    <w:rsid w:val="00937035"/>
    <w:rsid w:val="00942D51"/>
    <w:rsid w:val="00944F5A"/>
    <w:rsid w:val="0094776C"/>
    <w:rsid w:val="009505D9"/>
    <w:rsid w:val="00950852"/>
    <w:rsid w:val="0095485B"/>
    <w:rsid w:val="00956314"/>
    <w:rsid w:val="0096475A"/>
    <w:rsid w:val="009649AE"/>
    <w:rsid w:val="00965CCC"/>
    <w:rsid w:val="00974A95"/>
    <w:rsid w:val="0097566A"/>
    <w:rsid w:val="00981E5F"/>
    <w:rsid w:val="00991A4B"/>
    <w:rsid w:val="009939C7"/>
    <w:rsid w:val="00997989"/>
    <w:rsid w:val="009A041A"/>
    <w:rsid w:val="009A2776"/>
    <w:rsid w:val="009A39B4"/>
    <w:rsid w:val="009A43DE"/>
    <w:rsid w:val="009A7BE3"/>
    <w:rsid w:val="009A7DBF"/>
    <w:rsid w:val="009B0008"/>
    <w:rsid w:val="009B14EE"/>
    <w:rsid w:val="009B7246"/>
    <w:rsid w:val="009C1E7C"/>
    <w:rsid w:val="009C35D1"/>
    <w:rsid w:val="009C78C2"/>
    <w:rsid w:val="009C7C4A"/>
    <w:rsid w:val="009D054C"/>
    <w:rsid w:val="009D675E"/>
    <w:rsid w:val="009E410F"/>
    <w:rsid w:val="009F4C45"/>
    <w:rsid w:val="009F57D4"/>
    <w:rsid w:val="009F6551"/>
    <w:rsid w:val="009F6F4D"/>
    <w:rsid w:val="00A00181"/>
    <w:rsid w:val="00A03A99"/>
    <w:rsid w:val="00A14B3C"/>
    <w:rsid w:val="00A14F2D"/>
    <w:rsid w:val="00A15F7A"/>
    <w:rsid w:val="00A17035"/>
    <w:rsid w:val="00A17500"/>
    <w:rsid w:val="00A209E4"/>
    <w:rsid w:val="00A22424"/>
    <w:rsid w:val="00A22B75"/>
    <w:rsid w:val="00A2420A"/>
    <w:rsid w:val="00A24727"/>
    <w:rsid w:val="00A26959"/>
    <w:rsid w:val="00A317E9"/>
    <w:rsid w:val="00A32543"/>
    <w:rsid w:val="00A327EC"/>
    <w:rsid w:val="00A35A81"/>
    <w:rsid w:val="00A35F44"/>
    <w:rsid w:val="00A36E53"/>
    <w:rsid w:val="00A4005E"/>
    <w:rsid w:val="00A41F73"/>
    <w:rsid w:val="00A46A67"/>
    <w:rsid w:val="00A5019C"/>
    <w:rsid w:val="00A53540"/>
    <w:rsid w:val="00A57A9C"/>
    <w:rsid w:val="00A6029F"/>
    <w:rsid w:val="00A6178E"/>
    <w:rsid w:val="00A64A09"/>
    <w:rsid w:val="00A6622B"/>
    <w:rsid w:val="00A72628"/>
    <w:rsid w:val="00A74F69"/>
    <w:rsid w:val="00A751BC"/>
    <w:rsid w:val="00A85EFC"/>
    <w:rsid w:val="00A8792E"/>
    <w:rsid w:val="00A91DA4"/>
    <w:rsid w:val="00A92F08"/>
    <w:rsid w:val="00AA1AE5"/>
    <w:rsid w:val="00AA341C"/>
    <w:rsid w:val="00AB1653"/>
    <w:rsid w:val="00AB2AEC"/>
    <w:rsid w:val="00AB32B2"/>
    <w:rsid w:val="00AB3F1F"/>
    <w:rsid w:val="00AB5292"/>
    <w:rsid w:val="00AB5535"/>
    <w:rsid w:val="00AB7980"/>
    <w:rsid w:val="00AC4843"/>
    <w:rsid w:val="00AC6DAF"/>
    <w:rsid w:val="00AD27F3"/>
    <w:rsid w:val="00AD2C1B"/>
    <w:rsid w:val="00AD3349"/>
    <w:rsid w:val="00AD5A29"/>
    <w:rsid w:val="00AD63F6"/>
    <w:rsid w:val="00AD6DE5"/>
    <w:rsid w:val="00AD6FB0"/>
    <w:rsid w:val="00AE0F48"/>
    <w:rsid w:val="00AE17DC"/>
    <w:rsid w:val="00B04180"/>
    <w:rsid w:val="00B12281"/>
    <w:rsid w:val="00B145F1"/>
    <w:rsid w:val="00B16975"/>
    <w:rsid w:val="00B20037"/>
    <w:rsid w:val="00B2492B"/>
    <w:rsid w:val="00B25500"/>
    <w:rsid w:val="00B25508"/>
    <w:rsid w:val="00B31FA6"/>
    <w:rsid w:val="00B35CA5"/>
    <w:rsid w:val="00B40612"/>
    <w:rsid w:val="00B43DDE"/>
    <w:rsid w:val="00B4449D"/>
    <w:rsid w:val="00B45425"/>
    <w:rsid w:val="00B46DA4"/>
    <w:rsid w:val="00B50036"/>
    <w:rsid w:val="00B5036B"/>
    <w:rsid w:val="00B602B0"/>
    <w:rsid w:val="00B61FF3"/>
    <w:rsid w:val="00B642A0"/>
    <w:rsid w:val="00B66614"/>
    <w:rsid w:val="00B67920"/>
    <w:rsid w:val="00B76301"/>
    <w:rsid w:val="00B768EB"/>
    <w:rsid w:val="00B82267"/>
    <w:rsid w:val="00B82E91"/>
    <w:rsid w:val="00B96E79"/>
    <w:rsid w:val="00BA5065"/>
    <w:rsid w:val="00BA6C1A"/>
    <w:rsid w:val="00BA6F35"/>
    <w:rsid w:val="00BA7E07"/>
    <w:rsid w:val="00BB4F50"/>
    <w:rsid w:val="00BB5DF0"/>
    <w:rsid w:val="00BB7F26"/>
    <w:rsid w:val="00BC0293"/>
    <w:rsid w:val="00BC2184"/>
    <w:rsid w:val="00BC2AC8"/>
    <w:rsid w:val="00BC333B"/>
    <w:rsid w:val="00BC5286"/>
    <w:rsid w:val="00BC7681"/>
    <w:rsid w:val="00BD000C"/>
    <w:rsid w:val="00BD0F70"/>
    <w:rsid w:val="00BD2CCD"/>
    <w:rsid w:val="00BD47C9"/>
    <w:rsid w:val="00BD5316"/>
    <w:rsid w:val="00BD7489"/>
    <w:rsid w:val="00BE05C4"/>
    <w:rsid w:val="00C044E2"/>
    <w:rsid w:val="00C05F8F"/>
    <w:rsid w:val="00C10662"/>
    <w:rsid w:val="00C11C3D"/>
    <w:rsid w:val="00C133E8"/>
    <w:rsid w:val="00C228BF"/>
    <w:rsid w:val="00C24AB4"/>
    <w:rsid w:val="00C2585E"/>
    <w:rsid w:val="00C273D4"/>
    <w:rsid w:val="00C27A49"/>
    <w:rsid w:val="00C30D62"/>
    <w:rsid w:val="00C31C66"/>
    <w:rsid w:val="00C3375A"/>
    <w:rsid w:val="00C35351"/>
    <w:rsid w:val="00C35EDD"/>
    <w:rsid w:val="00C374C5"/>
    <w:rsid w:val="00C40199"/>
    <w:rsid w:val="00C4569F"/>
    <w:rsid w:val="00C46418"/>
    <w:rsid w:val="00C47567"/>
    <w:rsid w:val="00C57DC6"/>
    <w:rsid w:val="00C60DBF"/>
    <w:rsid w:val="00C61993"/>
    <w:rsid w:val="00C66677"/>
    <w:rsid w:val="00C66CC2"/>
    <w:rsid w:val="00C7159B"/>
    <w:rsid w:val="00C72587"/>
    <w:rsid w:val="00C75C45"/>
    <w:rsid w:val="00C8321D"/>
    <w:rsid w:val="00C86A3B"/>
    <w:rsid w:val="00C953A8"/>
    <w:rsid w:val="00C9614F"/>
    <w:rsid w:val="00CA1988"/>
    <w:rsid w:val="00CA206F"/>
    <w:rsid w:val="00CB000A"/>
    <w:rsid w:val="00CB01F7"/>
    <w:rsid w:val="00CB17A6"/>
    <w:rsid w:val="00CB4333"/>
    <w:rsid w:val="00CC6BEE"/>
    <w:rsid w:val="00CC7C07"/>
    <w:rsid w:val="00CD3A36"/>
    <w:rsid w:val="00CF3651"/>
    <w:rsid w:val="00CF5B7A"/>
    <w:rsid w:val="00CF5F6F"/>
    <w:rsid w:val="00CF6592"/>
    <w:rsid w:val="00D01B46"/>
    <w:rsid w:val="00D05AD5"/>
    <w:rsid w:val="00D0609A"/>
    <w:rsid w:val="00D0631A"/>
    <w:rsid w:val="00D06B9E"/>
    <w:rsid w:val="00D071A9"/>
    <w:rsid w:val="00D152F8"/>
    <w:rsid w:val="00D159F6"/>
    <w:rsid w:val="00D16C17"/>
    <w:rsid w:val="00D31189"/>
    <w:rsid w:val="00D336A9"/>
    <w:rsid w:val="00D52DE3"/>
    <w:rsid w:val="00D54C7D"/>
    <w:rsid w:val="00D55115"/>
    <w:rsid w:val="00D61C04"/>
    <w:rsid w:val="00D64174"/>
    <w:rsid w:val="00D660C2"/>
    <w:rsid w:val="00D66573"/>
    <w:rsid w:val="00D66B82"/>
    <w:rsid w:val="00D70EFE"/>
    <w:rsid w:val="00D7274A"/>
    <w:rsid w:val="00D74EF0"/>
    <w:rsid w:val="00D86F1D"/>
    <w:rsid w:val="00D958FA"/>
    <w:rsid w:val="00D95B43"/>
    <w:rsid w:val="00DA10F8"/>
    <w:rsid w:val="00DA22A1"/>
    <w:rsid w:val="00DB1904"/>
    <w:rsid w:val="00DB5731"/>
    <w:rsid w:val="00DC1FE6"/>
    <w:rsid w:val="00DC2ADF"/>
    <w:rsid w:val="00DC2C1D"/>
    <w:rsid w:val="00DC4332"/>
    <w:rsid w:val="00DD245B"/>
    <w:rsid w:val="00DD273C"/>
    <w:rsid w:val="00DD43E5"/>
    <w:rsid w:val="00DE1DEC"/>
    <w:rsid w:val="00DE3BAB"/>
    <w:rsid w:val="00DE4744"/>
    <w:rsid w:val="00DF1BDF"/>
    <w:rsid w:val="00DF4D3A"/>
    <w:rsid w:val="00DF577A"/>
    <w:rsid w:val="00DF5D91"/>
    <w:rsid w:val="00E00BEF"/>
    <w:rsid w:val="00E00E8B"/>
    <w:rsid w:val="00E022F3"/>
    <w:rsid w:val="00E101D3"/>
    <w:rsid w:val="00E1163D"/>
    <w:rsid w:val="00E1615F"/>
    <w:rsid w:val="00E16414"/>
    <w:rsid w:val="00E17312"/>
    <w:rsid w:val="00E219C8"/>
    <w:rsid w:val="00E275AF"/>
    <w:rsid w:val="00E30481"/>
    <w:rsid w:val="00E312EF"/>
    <w:rsid w:val="00E37BE4"/>
    <w:rsid w:val="00E37E36"/>
    <w:rsid w:val="00E42689"/>
    <w:rsid w:val="00E437C6"/>
    <w:rsid w:val="00E43CF2"/>
    <w:rsid w:val="00E444C0"/>
    <w:rsid w:val="00E50ABC"/>
    <w:rsid w:val="00E50E3C"/>
    <w:rsid w:val="00E5667E"/>
    <w:rsid w:val="00E60DB5"/>
    <w:rsid w:val="00E61500"/>
    <w:rsid w:val="00E633C1"/>
    <w:rsid w:val="00E723EB"/>
    <w:rsid w:val="00E91EA9"/>
    <w:rsid w:val="00E92591"/>
    <w:rsid w:val="00E96E13"/>
    <w:rsid w:val="00EA0C56"/>
    <w:rsid w:val="00EA2677"/>
    <w:rsid w:val="00EA6B37"/>
    <w:rsid w:val="00EB03F2"/>
    <w:rsid w:val="00EB4ED4"/>
    <w:rsid w:val="00EB4FB9"/>
    <w:rsid w:val="00EC0B8D"/>
    <w:rsid w:val="00EC21E0"/>
    <w:rsid w:val="00EC70B2"/>
    <w:rsid w:val="00ED36E2"/>
    <w:rsid w:val="00ED6A11"/>
    <w:rsid w:val="00ED759D"/>
    <w:rsid w:val="00EE448E"/>
    <w:rsid w:val="00EE594A"/>
    <w:rsid w:val="00EE7211"/>
    <w:rsid w:val="00EE7558"/>
    <w:rsid w:val="00EF1AE2"/>
    <w:rsid w:val="00EF6A5D"/>
    <w:rsid w:val="00EF7C25"/>
    <w:rsid w:val="00F006A9"/>
    <w:rsid w:val="00F028DE"/>
    <w:rsid w:val="00F03B58"/>
    <w:rsid w:val="00F05DB9"/>
    <w:rsid w:val="00F075E9"/>
    <w:rsid w:val="00F126BD"/>
    <w:rsid w:val="00F127F4"/>
    <w:rsid w:val="00F24AAF"/>
    <w:rsid w:val="00F263FD"/>
    <w:rsid w:val="00F26EFE"/>
    <w:rsid w:val="00F351B9"/>
    <w:rsid w:val="00F37B95"/>
    <w:rsid w:val="00F40BEA"/>
    <w:rsid w:val="00F4133C"/>
    <w:rsid w:val="00F5275E"/>
    <w:rsid w:val="00F55A1F"/>
    <w:rsid w:val="00F60DE2"/>
    <w:rsid w:val="00F61C67"/>
    <w:rsid w:val="00F709C0"/>
    <w:rsid w:val="00F744ED"/>
    <w:rsid w:val="00F74726"/>
    <w:rsid w:val="00F75913"/>
    <w:rsid w:val="00F75D36"/>
    <w:rsid w:val="00F84A3D"/>
    <w:rsid w:val="00F87145"/>
    <w:rsid w:val="00F90093"/>
    <w:rsid w:val="00F90AF9"/>
    <w:rsid w:val="00F91743"/>
    <w:rsid w:val="00F92844"/>
    <w:rsid w:val="00F93E8E"/>
    <w:rsid w:val="00FA087A"/>
    <w:rsid w:val="00FA7EDD"/>
    <w:rsid w:val="00FB13A8"/>
    <w:rsid w:val="00FB1743"/>
    <w:rsid w:val="00FB313B"/>
    <w:rsid w:val="00FB35BF"/>
    <w:rsid w:val="00FB6A9F"/>
    <w:rsid w:val="00FB7F54"/>
    <w:rsid w:val="00FC1CE9"/>
    <w:rsid w:val="00FC2EFF"/>
    <w:rsid w:val="00FC6E0C"/>
    <w:rsid w:val="00FC78BD"/>
    <w:rsid w:val="00FD07A6"/>
    <w:rsid w:val="00FD1E2C"/>
    <w:rsid w:val="00FD21E6"/>
    <w:rsid w:val="00FD24B3"/>
    <w:rsid w:val="00FD3119"/>
    <w:rsid w:val="00FD6F1C"/>
    <w:rsid w:val="00FD74ED"/>
    <w:rsid w:val="00FE0660"/>
    <w:rsid w:val="00FE2B24"/>
    <w:rsid w:val="00FE3AE5"/>
    <w:rsid w:val="00FE3DBA"/>
    <w:rsid w:val="00FF3C19"/>
    <w:rsid w:val="00FF5FC6"/>
    <w:rsid w:val="00FF68D2"/>
    <w:rsid w:val="00FF76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14:docId w14:val="4E8B8FD9"/>
  <w15:chartTrackingRefBased/>
  <w15:docId w15:val="{0E647C86-A03E-41CF-BFC1-B4E2179C5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qFormat/>
    <w:pPr>
      <w:spacing w:after="60"/>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896"/>
        <w:tab w:val="right" w:pos="9792"/>
      </w:tabs>
      <w:spacing w:before="60"/>
    </w:pPr>
    <w:rPr>
      <w:rFonts w:ascii="Arial" w:hAnsi="Arial"/>
      <w:sz w:val="20"/>
      <w:szCs w:val="20"/>
    </w:rPr>
  </w:style>
  <w:style w:type="character" w:styleId="PageNumber">
    <w:name w:val="page number"/>
    <w:basedOn w:val="DefaultParagraphFont"/>
  </w:style>
  <w:style w:type="paragraph" w:customStyle="1" w:styleId="Para1">
    <w:name w:val="Para 1"/>
    <w:basedOn w:val="Normal"/>
    <w:link w:val="Para1CharChar"/>
    <w:qFormat/>
    <w:pPr>
      <w:numPr>
        <w:numId w:val="3"/>
      </w:numPr>
      <w:spacing w:after="120" w:line="300" w:lineRule="atLeast"/>
    </w:pPr>
  </w:style>
  <w:style w:type="paragraph" w:customStyle="1" w:styleId="Para2">
    <w:name w:val="Para 2"/>
    <w:basedOn w:val="Para1"/>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link w:val="Para5Char"/>
    <w:qFormat/>
    <w:pPr>
      <w:numPr>
        <w:numId w:val="4"/>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link w:val="TitlePagetextChar"/>
    <w:qFormat/>
    <w:pPr>
      <w:spacing w:before="80" w:after="100"/>
    </w:pPr>
  </w:style>
  <w:style w:type="paragraph" w:styleId="Header">
    <w:name w:val="header"/>
    <w:basedOn w:val="Normal"/>
    <w:pPr>
      <w:tabs>
        <w:tab w:val="center" w:pos="4320"/>
        <w:tab w:val="right" w:pos="8640"/>
      </w:tabs>
    </w:pPr>
  </w:style>
  <w:style w:type="paragraph" w:customStyle="1" w:styleId="NumberedOrder">
    <w:name w:val="Numbered Order"/>
    <w:basedOn w:val="Normal"/>
    <w:pPr>
      <w:spacing w:after="120" w:line="300" w:lineRule="atLeast"/>
    </w:pPr>
  </w:style>
  <w:style w:type="paragraph" w:styleId="FootnoteText">
    <w:name w:val="footnote text"/>
    <w:basedOn w:val="Normal"/>
    <w:link w:val="FootnoteTextChar"/>
    <w:uiPriority w:val="99"/>
    <w:semiHidden/>
    <w:pPr>
      <w:ind w:left="567" w:hanging="567"/>
    </w:pPr>
    <w:rPr>
      <w:sz w:val="20"/>
      <w:szCs w:val="20"/>
    </w:rPr>
  </w:style>
  <w:style w:type="character" w:styleId="FootnoteReference">
    <w:name w:val="footnote reference"/>
    <w:uiPriority w:val="99"/>
    <w:semiHidden/>
    <w:rPr>
      <w:vertAlign w:val="superscript"/>
    </w:rPr>
  </w:style>
  <w:style w:type="paragraph" w:customStyle="1" w:styleId="Order1">
    <w:name w:val="Order 1"/>
    <w:basedOn w:val="Normal"/>
    <w:pPr>
      <w:spacing w:after="120"/>
    </w:pPr>
  </w:style>
  <w:style w:type="paragraph" w:customStyle="1" w:styleId="Order2">
    <w:name w:val="Order 2"/>
    <w:basedOn w:val="Order1"/>
    <w:link w:val="Order2Char1"/>
    <w:qFormat/>
    <w:pPr>
      <w:numPr>
        <w:numId w:val="9"/>
      </w:numPr>
      <w:spacing w:line="300" w:lineRule="atLeast"/>
    </w:pPr>
  </w:style>
  <w:style w:type="paragraph" w:customStyle="1" w:styleId="StyleTitlePagetextRight">
    <w:name w:val="Style Title Page text + Right"/>
    <w:basedOn w:val="TitlePagetext"/>
    <w:pPr>
      <w:jc w:val="right"/>
    </w:pPr>
    <w:rPr>
      <w:szCs w:val="20"/>
    </w:rPr>
  </w:style>
  <w:style w:type="paragraph" w:customStyle="1" w:styleId="Para3">
    <w:name w:val="Para 3"/>
    <w:basedOn w:val="Para2"/>
    <w:pPr>
      <w:numPr>
        <w:numId w:val="2"/>
      </w:numPr>
    </w:pPr>
  </w:style>
  <w:style w:type="table" w:styleId="TableGrid">
    <w:name w:val="Table Grid"/>
    <w:basedOn w:val="TableNormal"/>
    <w:rsid w:val="00A64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3">
    <w:name w:val="Quote 3"/>
    <w:basedOn w:val="Quote2"/>
    <w:pPr>
      <w:numPr>
        <w:numId w:val="5"/>
      </w:numPr>
    </w:pPr>
  </w:style>
  <w:style w:type="paragraph" w:customStyle="1" w:styleId="TitlePage3">
    <w:name w:val="Title Page 3"/>
    <w:basedOn w:val="TitlePage2"/>
    <w:pPr>
      <w:spacing w:before="20" w:after="0"/>
      <w:jc w:val="right"/>
    </w:pPr>
    <w:rPr>
      <w:b w:val="0"/>
      <w:sz w:val="16"/>
    </w:rPr>
  </w:style>
  <w:style w:type="paragraph" w:styleId="DocumentMap">
    <w:name w:val="Document Map"/>
    <w:basedOn w:val="Normal"/>
    <w:semiHidden/>
    <w:rsid w:val="00C7159B"/>
    <w:pPr>
      <w:shd w:val="clear" w:color="auto" w:fill="000080"/>
    </w:pPr>
    <w:rPr>
      <w:rFonts w:ascii="Tahoma" w:hAnsi="Tahoma" w:cs="Tahoma"/>
      <w:sz w:val="20"/>
      <w:szCs w:val="20"/>
    </w:rPr>
  </w:style>
  <w:style w:type="paragraph" w:customStyle="1" w:styleId="Para1Style1">
    <w:name w:val="Para 1 Style1"/>
    <w:basedOn w:val="Para1"/>
    <w:rsid w:val="00F03B58"/>
    <w:rPr>
      <w:rFonts w:ascii="Arial" w:hAnsi="Arial"/>
      <w:sz w:val="22"/>
      <w:szCs w:val="24"/>
      <w:lang w:eastAsia="en-AU"/>
    </w:rPr>
  </w:style>
  <w:style w:type="character" w:styleId="Hyperlink">
    <w:name w:val="Hyperlink"/>
    <w:rsid w:val="00722296"/>
    <w:rPr>
      <w:color w:val="0000FF"/>
      <w:u w:val="single"/>
    </w:rPr>
  </w:style>
  <w:style w:type="character" w:customStyle="1" w:styleId="FooterChar">
    <w:name w:val="Footer Char"/>
    <w:link w:val="Footer"/>
    <w:locked/>
    <w:rsid w:val="00CB4333"/>
    <w:rPr>
      <w:rFonts w:ascii="Arial" w:hAnsi="Arial"/>
      <w:lang w:val="en-AU" w:eastAsia="en-US" w:bidi="ar-SA"/>
    </w:rPr>
  </w:style>
  <w:style w:type="paragraph" w:styleId="BalloonText">
    <w:name w:val="Balloon Text"/>
    <w:basedOn w:val="Normal"/>
    <w:semiHidden/>
    <w:rsid w:val="0047635D"/>
    <w:rPr>
      <w:rFonts w:ascii="Tahoma" w:hAnsi="Tahoma" w:cs="Tahoma"/>
      <w:sz w:val="16"/>
      <w:szCs w:val="16"/>
    </w:rPr>
  </w:style>
  <w:style w:type="character" w:customStyle="1" w:styleId="Heading3Char">
    <w:name w:val="Heading 3 Char"/>
    <w:link w:val="Heading3"/>
    <w:rsid w:val="00D55115"/>
    <w:rPr>
      <w:rFonts w:ascii="Arial" w:hAnsi="Arial"/>
      <w:b/>
      <w:bCs/>
      <w:iCs/>
      <w:sz w:val="24"/>
      <w:szCs w:val="24"/>
      <w:lang w:eastAsia="en-US"/>
    </w:rPr>
  </w:style>
  <w:style w:type="character" w:customStyle="1" w:styleId="Heading1Char">
    <w:name w:val="Heading 1 Char"/>
    <w:basedOn w:val="DefaultParagraphFont"/>
    <w:link w:val="Heading1"/>
    <w:rsid w:val="00A26959"/>
    <w:rPr>
      <w:rFonts w:ascii="Arial" w:hAnsi="Arial"/>
      <w:b/>
      <w:bCs/>
      <w:caps/>
      <w:sz w:val="24"/>
      <w:szCs w:val="24"/>
      <w:lang w:eastAsia="en-US"/>
    </w:rPr>
  </w:style>
  <w:style w:type="character" w:customStyle="1" w:styleId="Para5Char">
    <w:name w:val="Para 5 Char"/>
    <w:link w:val="Para5"/>
    <w:rsid w:val="00A26959"/>
    <w:rPr>
      <w:sz w:val="26"/>
      <w:szCs w:val="26"/>
      <w:lang w:eastAsia="en-US"/>
    </w:rPr>
  </w:style>
  <w:style w:type="character" w:customStyle="1" w:styleId="TitlePagetextChar">
    <w:name w:val="Title Page text Char"/>
    <w:link w:val="TitlePagetext"/>
    <w:locked/>
    <w:rsid w:val="005C42F4"/>
    <w:rPr>
      <w:sz w:val="26"/>
      <w:szCs w:val="26"/>
      <w:lang w:eastAsia="en-US"/>
    </w:rPr>
  </w:style>
  <w:style w:type="character" w:customStyle="1" w:styleId="Order2Char1">
    <w:name w:val="Order 2 Char1"/>
    <w:link w:val="Order2"/>
    <w:locked/>
    <w:rsid w:val="005C42F4"/>
    <w:rPr>
      <w:sz w:val="26"/>
      <w:szCs w:val="26"/>
      <w:lang w:eastAsia="en-US"/>
    </w:rPr>
  </w:style>
  <w:style w:type="paragraph" w:styleId="ListParagraph">
    <w:name w:val="List Paragraph"/>
    <w:basedOn w:val="Normal"/>
    <w:uiPriority w:val="34"/>
    <w:qFormat/>
    <w:rsid w:val="00C27A49"/>
    <w:pPr>
      <w:ind w:left="720"/>
    </w:pPr>
    <w:rPr>
      <w:rFonts w:ascii="Arial" w:hAnsi="Arial"/>
      <w:sz w:val="22"/>
      <w:szCs w:val="20"/>
      <w:lang w:eastAsia="en-AU"/>
    </w:rPr>
  </w:style>
  <w:style w:type="character" w:customStyle="1" w:styleId="Para1CharChar">
    <w:name w:val="Para 1 Char Char"/>
    <w:link w:val="Para1"/>
    <w:rsid w:val="00F55A1F"/>
    <w:rPr>
      <w:sz w:val="26"/>
      <w:szCs w:val="26"/>
      <w:lang w:eastAsia="en-US"/>
    </w:rPr>
  </w:style>
  <w:style w:type="paragraph" w:customStyle="1" w:styleId="ReportTemplate">
    <w:name w:val="Report Template"/>
    <w:basedOn w:val="Normal"/>
    <w:link w:val="ReportTemplateChar"/>
    <w:qFormat/>
    <w:rsid w:val="00345370"/>
    <w:pPr>
      <w:jc w:val="both"/>
    </w:pPr>
    <w:rPr>
      <w:rFonts w:ascii="Arial" w:eastAsia="Calibri" w:hAnsi="Arial" w:cs="Arial"/>
      <w:sz w:val="22"/>
      <w:szCs w:val="22"/>
      <w:lang w:val="en-US"/>
    </w:rPr>
  </w:style>
  <w:style w:type="character" w:customStyle="1" w:styleId="ReportTemplateChar">
    <w:name w:val="Report Template Char"/>
    <w:link w:val="ReportTemplate"/>
    <w:rsid w:val="00345370"/>
    <w:rPr>
      <w:rFonts w:ascii="Arial" w:eastAsia="Calibri" w:hAnsi="Arial" w:cs="Arial"/>
      <w:sz w:val="22"/>
      <w:szCs w:val="22"/>
      <w:lang w:val="en-US" w:eastAsia="en-US"/>
    </w:rPr>
  </w:style>
  <w:style w:type="paragraph" w:customStyle="1" w:styleId="Condition">
    <w:name w:val="Condition"/>
    <w:basedOn w:val="Normal"/>
    <w:link w:val="ConditionChar"/>
    <w:qFormat/>
    <w:rsid w:val="00345370"/>
    <w:pPr>
      <w:numPr>
        <w:numId w:val="7"/>
      </w:numPr>
      <w:jc w:val="both"/>
    </w:pPr>
    <w:rPr>
      <w:rFonts w:ascii="Arial" w:hAnsi="Arial" w:cs="Arial"/>
      <w:sz w:val="22"/>
      <w:szCs w:val="22"/>
    </w:rPr>
  </w:style>
  <w:style w:type="paragraph" w:customStyle="1" w:styleId="Sub-condition">
    <w:name w:val="Sub-condition"/>
    <w:basedOn w:val="ReportTemplate"/>
    <w:link w:val="Sub-conditionChar"/>
    <w:qFormat/>
    <w:rsid w:val="00345370"/>
    <w:pPr>
      <w:numPr>
        <w:numId w:val="8"/>
      </w:numPr>
      <w:ind w:left="1134" w:hanging="567"/>
    </w:pPr>
  </w:style>
  <w:style w:type="character" w:customStyle="1" w:styleId="ConditionChar">
    <w:name w:val="Condition Char"/>
    <w:link w:val="Condition"/>
    <w:rsid w:val="00345370"/>
    <w:rPr>
      <w:rFonts w:ascii="Arial" w:hAnsi="Arial" w:cs="Arial"/>
      <w:sz w:val="22"/>
      <w:szCs w:val="22"/>
      <w:lang w:eastAsia="en-US"/>
    </w:rPr>
  </w:style>
  <w:style w:type="character" w:customStyle="1" w:styleId="Sub-conditionChar">
    <w:name w:val="Sub-condition Char"/>
    <w:link w:val="Sub-condition"/>
    <w:rsid w:val="00345370"/>
    <w:rPr>
      <w:rFonts w:ascii="Arial" w:eastAsia="Calibri" w:hAnsi="Arial" w:cs="Arial"/>
      <w:sz w:val="22"/>
      <w:szCs w:val="22"/>
      <w:lang w:val="en-US" w:eastAsia="en-US"/>
    </w:rPr>
  </w:style>
  <w:style w:type="paragraph" w:customStyle="1" w:styleId="Indented">
    <w:name w:val="Indented"/>
    <w:basedOn w:val="BodyTextIndent"/>
    <w:link w:val="IndentedChar"/>
    <w:qFormat/>
    <w:rsid w:val="00345370"/>
    <w:pPr>
      <w:spacing w:after="0"/>
      <w:ind w:left="567"/>
    </w:pPr>
    <w:rPr>
      <w:rFonts w:ascii="Arial" w:hAnsi="Arial"/>
      <w:sz w:val="22"/>
      <w:szCs w:val="22"/>
      <w:lang w:val="en-US"/>
    </w:rPr>
  </w:style>
  <w:style w:type="character" w:customStyle="1" w:styleId="IndentedChar">
    <w:name w:val="Indented Char"/>
    <w:basedOn w:val="BodyTextIndentChar"/>
    <w:link w:val="Indented"/>
    <w:rsid w:val="00345370"/>
    <w:rPr>
      <w:rFonts w:ascii="Arial" w:hAnsi="Arial"/>
      <w:sz w:val="22"/>
      <w:szCs w:val="22"/>
      <w:lang w:val="en-US" w:eastAsia="en-US"/>
    </w:rPr>
  </w:style>
  <w:style w:type="paragraph" w:customStyle="1" w:styleId="Default">
    <w:name w:val="Default"/>
    <w:rsid w:val="00345370"/>
    <w:pPr>
      <w:autoSpaceDE w:val="0"/>
      <w:autoSpaceDN w:val="0"/>
      <w:adjustRightInd w:val="0"/>
    </w:pPr>
    <w:rPr>
      <w:rFonts w:ascii="Arial" w:hAnsi="Arial" w:cs="Arial"/>
      <w:color w:val="000000"/>
      <w:sz w:val="24"/>
      <w:szCs w:val="24"/>
    </w:rPr>
  </w:style>
  <w:style w:type="paragraph" w:styleId="BodyTextIndent">
    <w:name w:val="Body Text Indent"/>
    <w:basedOn w:val="Normal"/>
    <w:link w:val="BodyTextIndentChar"/>
    <w:rsid w:val="00345370"/>
    <w:pPr>
      <w:spacing w:after="120"/>
      <w:ind w:left="283"/>
    </w:pPr>
  </w:style>
  <w:style w:type="character" w:customStyle="1" w:styleId="BodyTextIndentChar">
    <w:name w:val="Body Text Indent Char"/>
    <w:basedOn w:val="DefaultParagraphFont"/>
    <w:link w:val="BodyTextIndent"/>
    <w:rsid w:val="00345370"/>
    <w:rPr>
      <w:sz w:val="26"/>
      <w:szCs w:val="26"/>
      <w:lang w:eastAsia="en-US"/>
    </w:rPr>
  </w:style>
  <w:style w:type="character" w:customStyle="1" w:styleId="FootnoteTextChar">
    <w:name w:val="Footnote Text Char"/>
    <w:basedOn w:val="DefaultParagraphFont"/>
    <w:link w:val="FootnoteText"/>
    <w:uiPriority w:val="99"/>
    <w:semiHidden/>
    <w:rsid w:val="00FB6A9F"/>
    <w:rPr>
      <w:lang w:eastAsia="en-US"/>
    </w:rPr>
  </w:style>
  <w:style w:type="paragraph" w:customStyle="1" w:styleId="footnotedescription">
    <w:name w:val="footnote description"/>
    <w:next w:val="Normal"/>
    <w:link w:val="footnotedescriptionChar"/>
    <w:hidden/>
    <w:rsid w:val="00EB03F2"/>
    <w:pPr>
      <w:spacing w:line="259" w:lineRule="auto"/>
    </w:pPr>
    <w:rPr>
      <w:rFonts w:ascii="Arial" w:eastAsia="Arial" w:hAnsi="Arial" w:cs="Arial"/>
      <w:color w:val="000000"/>
      <w:szCs w:val="22"/>
    </w:rPr>
  </w:style>
  <w:style w:type="character" w:customStyle="1" w:styleId="footnotedescriptionChar">
    <w:name w:val="footnote description Char"/>
    <w:link w:val="footnotedescription"/>
    <w:rsid w:val="00EB03F2"/>
    <w:rPr>
      <w:rFonts w:ascii="Arial" w:eastAsia="Arial" w:hAnsi="Arial" w:cs="Arial"/>
      <w:color w:val="000000"/>
      <w:szCs w:val="22"/>
    </w:rPr>
  </w:style>
  <w:style w:type="character" w:customStyle="1" w:styleId="footnotemark">
    <w:name w:val="footnote mark"/>
    <w:hidden/>
    <w:rsid w:val="00EB03F2"/>
    <w:rPr>
      <w:rFonts w:ascii="Arial" w:eastAsia="Arial" w:hAnsi="Arial" w:cs="Arial"/>
      <w:color w:val="000000"/>
      <w:sz w:val="20"/>
      <w:vertAlign w:val="superscript"/>
    </w:rPr>
  </w:style>
  <w:style w:type="paragraph" w:customStyle="1" w:styleId="other">
    <w:name w:val="other"/>
    <w:basedOn w:val="Normal"/>
    <w:rsid w:val="007D1FF3"/>
    <w:rPr>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850796">
      <w:bodyDiv w:val="1"/>
      <w:marLeft w:val="0"/>
      <w:marRight w:val="0"/>
      <w:marTop w:val="0"/>
      <w:marBottom w:val="0"/>
      <w:divBdr>
        <w:top w:val="none" w:sz="0" w:space="0" w:color="auto"/>
        <w:left w:val="none" w:sz="0" w:space="0" w:color="auto"/>
        <w:bottom w:val="none" w:sz="0" w:space="0" w:color="auto"/>
        <w:right w:val="none" w:sz="0" w:space="0" w:color="auto"/>
      </w:divBdr>
    </w:div>
    <w:div w:id="53041173">
      <w:bodyDiv w:val="1"/>
      <w:marLeft w:val="0"/>
      <w:marRight w:val="0"/>
      <w:marTop w:val="0"/>
      <w:marBottom w:val="0"/>
      <w:divBdr>
        <w:top w:val="none" w:sz="0" w:space="0" w:color="auto"/>
        <w:left w:val="none" w:sz="0" w:space="0" w:color="auto"/>
        <w:bottom w:val="none" w:sz="0" w:space="0" w:color="auto"/>
        <w:right w:val="none" w:sz="0" w:space="0" w:color="auto"/>
      </w:divBdr>
    </w:div>
    <w:div w:id="79255668">
      <w:bodyDiv w:val="1"/>
      <w:marLeft w:val="0"/>
      <w:marRight w:val="0"/>
      <w:marTop w:val="0"/>
      <w:marBottom w:val="0"/>
      <w:divBdr>
        <w:top w:val="none" w:sz="0" w:space="0" w:color="auto"/>
        <w:left w:val="none" w:sz="0" w:space="0" w:color="auto"/>
        <w:bottom w:val="none" w:sz="0" w:space="0" w:color="auto"/>
        <w:right w:val="none" w:sz="0" w:space="0" w:color="auto"/>
      </w:divBdr>
    </w:div>
    <w:div w:id="96799500">
      <w:bodyDiv w:val="1"/>
      <w:marLeft w:val="0"/>
      <w:marRight w:val="0"/>
      <w:marTop w:val="0"/>
      <w:marBottom w:val="0"/>
      <w:divBdr>
        <w:top w:val="none" w:sz="0" w:space="0" w:color="auto"/>
        <w:left w:val="none" w:sz="0" w:space="0" w:color="auto"/>
        <w:bottom w:val="none" w:sz="0" w:space="0" w:color="auto"/>
        <w:right w:val="none" w:sz="0" w:space="0" w:color="auto"/>
      </w:divBdr>
    </w:div>
    <w:div w:id="106700328">
      <w:bodyDiv w:val="1"/>
      <w:marLeft w:val="0"/>
      <w:marRight w:val="0"/>
      <w:marTop w:val="0"/>
      <w:marBottom w:val="0"/>
      <w:divBdr>
        <w:top w:val="none" w:sz="0" w:space="0" w:color="auto"/>
        <w:left w:val="none" w:sz="0" w:space="0" w:color="auto"/>
        <w:bottom w:val="none" w:sz="0" w:space="0" w:color="auto"/>
        <w:right w:val="none" w:sz="0" w:space="0" w:color="auto"/>
      </w:divBdr>
    </w:div>
    <w:div w:id="275868414">
      <w:bodyDiv w:val="1"/>
      <w:marLeft w:val="0"/>
      <w:marRight w:val="0"/>
      <w:marTop w:val="0"/>
      <w:marBottom w:val="0"/>
      <w:divBdr>
        <w:top w:val="none" w:sz="0" w:space="0" w:color="auto"/>
        <w:left w:val="none" w:sz="0" w:space="0" w:color="auto"/>
        <w:bottom w:val="none" w:sz="0" w:space="0" w:color="auto"/>
        <w:right w:val="none" w:sz="0" w:space="0" w:color="auto"/>
      </w:divBdr>
    </w:div>
    <w:div w:id="309290955">
      <w:bodyDiv w:val="1"/>
      <w:marLeft w:val="0"/>
      <w:marRight w:val="0"/>
      <w:marTop w:val="0"/>
      <w:marBottom w:val="0"/>
      <w:divBdr>
        <w:top w:val="none" w:sz="0" w:space="0" w:color="auto"/>
        <w:left w:val="none" w:sz="0" w:space="0" w:color="auto"/>
        <w:bottom w:val="none" w:sz="0" w:space="0" w:color="auto"/>
        <w:right w:val="none" w:sz="0" w:space="0" w:color="auto"/>
      </w:divBdr>
    </w:div>
    <w:div w:id="332143861">
      <w:bodyDiv w:val="1"/>
      <w:marLeft w:val="0"/>
      <w:marRight w:val="0"/>
      <w:marTop w:val="0"/>
      <w:marBottom w:val="0"/>
      <w:divBdr>
        <w:top w:val="none" w:sz="0" w:space="0" w:color="auto"/>
        <w:left w:val="none" w:sz="0" w:space="0" w:color="auto"/>
        <w:bottom w:val="none" w:sz="0" w:space="0" w:color="auto"/>
        <w:right w:val="none" w:sz="0" w:space="0" w:color="auto"/>
      </w:divBdr>
    </w:div>
    <w:div w:id="408113671">
      <w:bodyDiv w:val="1"/>
      <w:marLeft w:val="0"/>
      <w:marRight w:val="0"/>
      <w:marTop w:val="0"/>
      <w:marBottom w:val="0"/>
      <w:divBdr>
        <w:top w:val="none" w:sz="0" w:space="0" w:color="auto"/>
        <w:left w:val="none" w:sz="0" w:space="0" w:color="auto"/>
        <w:bottom w:val="none" w:sz="0" w:space="0" w:color="auto"/>
        <w:right w:val="none" w:sz="0" w:space="0" w:color="auto"/>
      </w:divBdr>
    </w:div>
    <w:div w:id="455755705">
      <w:bodyDiv w:val="1"/>
      <w:marLeft w:val="0"/>
      <w:marRight w:val="0"/>
      <w:marTop w:val="0"/>
      <w:marBottom w:val="0"/>
      <w:divBdr>
        <w:top w:val="none" w:sz="0" w:space="0" w:color="auto"/>
        <w:left w:val="none" w:sz="0" w:space="0" w:color="auto"/>
        <w:bottom w:val="none" w:sz="0" w:space="0" w:color="auto"/>
        <w:right w:val="none" w:sz="0" w:space="0" w:color="auto"/>
      </w:divBdr>
    </w:div>
    <w:div w:id="522742138">
      <w:bodyDiv w:val="1"/>
      <w:marLeft w:val="0"/>
      <w:marRight w:val="0"/>
      <w:marTop w:val="0"/>
      <w:marBottom w:val="0"/>
      <w:divBdr>
        <w:top w:val="none" w:sz="0" w:space="0" w:color="auto"/>
        <w:left w:val="none" w:sz="0" w:space="0" w:color="auto"/>
        <w:bottom w:val="none" w:sz="0" w:space="0" w:color="auto"/>
        <w:right w:val="none" w:sz="0" w:space="0" w:color="auto"/>
      </w:divBdr>
    </w:div>
    <w:div w:id="577981658">
      <w:bodyDiv w:val="1"/>
      <w:marLeft w:val="0"/>
      <w:marRight w:val="0"/>
      <w:marTop w:val="0"/>
      <w:marBottom w:val="0"/>
      <w:divBdr>
        <w:top w:val="none" w:sz="0" w:space="0" w:color="auto"/>
        <w:left w:val="none" w:sz="0" w:space="0" w:color="auto"/>
        <w:bottom w:val="none" w:sz="0" w:space="0" w:color="auto"/>
        <w:right w:val="none" w:sz="0" w:space="0" w:color="auto"/>
      </w:divBdr>
    </w:div>
    <w:div w:id="743071076">
      <w:bodyDiv w:val="1"/>
      <w:marLeft w:val="0"/>
      <w:marRight w:val="0"/>
      <w:marTop w:val="0"/>
      <w:marBottom w:val="0"/>
      <w:divBdr>
        <w:top w:val="none" w:sz="0" w:space="0" w:color="auto"/>
        <w:left w:val="none" w:sz="0" w:space="0" w:color="auto"/>
        <w:bottom w:val="none" w:sz="0" w:space="0" w:color="auto"/>
        <w:right w:val="none" w:sz="0" w:space="0" w:color="auto"/>
      </w:divBdr>
    </w:div>
    <w:div w:id="834416247">
      <w:bodyDiv w:val="1"/>
      <w:marLeft w:val="0"/>
      <w:marRight w:val="0"/>
      <w:marTop w:val="0"/>
      <w:marBottom w:val="0"/>
      <w:divBdr>
        <w:top w:val="none" w:sz="0" w:space="0" w:color="auto"/>
        <w:left w:val="none" w:sz="0" w:space="0" w:color="auto"/>
        <w:bottom w:val="none" w:sz="0" w:space="0" w:color="auto"/>
        <w:right w:val="none" w:sz="0" w:space="0" w:color="auto"/>
      </w:divBdr>
    </w:div>
    <w:div w:id="844629430">
      <w:bodyDiv w:val="1"/>
      <w:marLeft w:val="0"/>
      <w:marRight w:val="0"/>
      <w:marTop w:val="0"/>
      <w:marBottom w:val="0"/>
      <w:divBdr>
        <w:top w:val="none" w:sz="0" w:space="0" w:color="auto"/>
        <w:left w:val="none" w:sz="0" w:space="0" w:color="auto"/>
        <w:bottom w:val="none" w:sz="0" w:space="0" w:color="auto"/>
        <w:right w:val="none" w:sz="0" w:space="0" w:color="auto"/>
      </w:divBdr>
    </w:div>
    <w:div w:id="854805560">
      <w:bodyDiv w:val="1"/>
      <w:marLeft w:val="0"/>
      <w:marRight w:val="0"/>
      <w:marTop w:val="0"/>
      <w:marBottom w:val="0"/>
      <w:divBdr>
        <w:top w:val="none" w:sz="0" w:space="0" w:color="auto"/>
        <w:left w:val="none" w:sz="0" w:space="0" w:color="auto"/>
        <w:bottom w:val="none" w:sz="0" w:space="0" w:color="auto"/>
        <w:right w:val="none" w:sz="0" w:space="0" w:color="auto"/>
      </w:divBdr>
    </w:div>
    <w:div w:id="897471619">
      <w:bodyDiv w:val="1"/>
      <w:marLeft w:val="0"/>
      <w:marRight w:val="0"/>
      <w:marTop w:val="0"/>
      <w:marBottom w:val="0"/>
      <w:divBdr>
        <w:top w:val="none" w:sz="0" w:space="0" w:color="auto"/>
        <w:left w:val="none" w:sz="0" w:space="0" w:color="auto"/>
        <w:bottom w:val="none" w:sz="0" w:space="0" w:color="auto"/>
        <w:right w:val="none" w:sz="0" w:space="0" w:color="auto"/>
      </w:divBdr>
    </w:div>
    <w:div w:id="964311657">
      <w:bodyDiv w:val="1"/>
      <w:marLeft w:val="0"/>
      <w:marRight w:val="0"/>
      <w:marTop w:val="0"/>
      <w:marBottom w:val="0"/>
      <w:divBdr>
        <w:top w:val="none" w:sz="0" w:space="0" w:color="auto"/>
        <w:left w:val="none" w:sz="0" w:space="0" w:color="auto"/>
        <w:bottom w:val="none" w:sz="0" w:space="0" w:color="auto"/>
        <w:right w:val="none" w:sz="0" w:space="0" w:color="auto"/>
      </w:divBdr>
    </w:div>
    <w:div w:id="1070732494">
      <w:bodyDiv w:val="1"/>
      <w:marLeft w:val="0"/>
      <w:marRight w:val="0"/>
      <w:marTop w:val="0"/>
      <w:marBottom w:val="0"/>
      <w:divBdr>
        <w:top w:val="none" w:sz="0" w:space="0" w:color="auto"/>
        <w:left w:val="none" w:sz="0" w:space="0" w:color="auto"/>
        <w:bottom w:val="none" w:sz="0" w:space="0" w:color="auto"/>
        <w:right w:val="none" w:sz="0" w:space="0" w:color="auto"/>
      </w:divBdr>
    </w:div>
    <w:div w:id="1241721762">
      <w:bodyDiv w:val="1"/>
      <w:marLeft w:val="0"/>
      <w:marRight w:val="0"/>
      <w:marTop w:val="0"/>
      <w:marBottom w:val="0"/>
      <w:divBdr>
        <w:top w:val="none" w:sz="0" w:space="0" w:color="auto"/>
        <w:left w:val="none" w:sz="0" w:space="0" w:color="auto"/>
        <w:bottom w:val="none" w:sz="0" w:space="0" w:color="auto"/>
        <w:right w:val="none" w:sz="0" w:space="0" w:color="auto"/>
      </w:divBdr>
    </w:div>
    <w:div w:id="1242790234">
      <w:bodyDiv w:val="1"/>
      <w:marLeft w:val="0"/>
      <w:marRight w:val="0"/>
      <w:marTop w:val="0"/>
      <w:marBottom w:val="0"/>
      <w:divBdr>
        <w:top w:val="none" w:sz="0" w:space="0" w:color="auto"/>
        <w:left w:val="none" w:sz="0" w:space="0" w:color="auto"/>
        <w:bottom w:val="none" w:sz="0" w:space="0" w:color="auto"/>
        <w:right w:val="none" w:sz="0" w:space="0" w:color="auto"/>
      </w:divBdr>
    </w:div>
    <w:div w:id="1255091945">
      <w:bodyDiv w:val="1"/>
      <w:marLeft w:val="0"/>
      <w:marRight w:val="0"/>
      <w:marTop w:val="0"/>
      <w:marBottom w:val="0"/>
      <w:divBdr>
        <w:top w:val="none" w:sz="0" w:space="0" w:color="auto"/>
        <w:left w:val="none" w:sz="0" w:space="0" w:color="auto"/>
        <w:bottom w:val="none" w:sz="0" w:space="0" w:color="auto"/>
        <w:right w:val="none" w:sz="0" w:space="0" w:color="auto"/>
      </w:divBdr>
    </w:div>
    <w:div w:id="1344670599">
      <w:bodyDiv w:val="1"/>
      <w:marLeft w:val="0"/>
      <w:marRight w:val="0"/>
      <w:marTop w:val="0"/>
      <w:marBottom w:val="0"/>
      <w:divBdr>
        <w:top w:val="none" w:sz="0" w:space="0" w:color="auto"/>
        <w:left w:val="none" w:sz="0" w:space="0" w:color="auto"/>
        <w:bottom w:val="none" w:sz="0" w:space="0" w:color="auto"/>
        <w:right w:val="none" w:sz="0" w:space="0" w:color="auto"/>
      </w:divBdr>
    </w:div>
    <w:div w:id="1408452722">
      <w:bodyDiv w:val="1"/>
      <w:marLeft w:val="0"/>
      <w:marRight w:val="0"/>
      <w:marTop w:val="0"/>
      <w:marBottom w:val="0"/>
      <w:divBdr>
        <w:top w:val="none" w:sz="0" w:space="0" w:color="auto"/>
        <w:left w:val="none" w:sz="0" w:space="0" w:color="auto"/>
        <w:bottom w:val="none" w:sz="0" w:space="0" w:color="auto"/>
        <w:right w:val="none" w:sz="0" w:space="0" w:color="auto"/>
      </w:divBdr>
      <w:divsChild>
        <w:div w:id="1957056094">
          <w:marLeft w:val="0"/>
          <w:marRight w:val="0"/>
          <w:marTop w:val="0"/>
          <w:marBottom w:val="0"/>
          <w:divBdr>
            <w:top w:val="none" w:sz="0" w:space="0" w:color="auto"/>
            <w:left w:val="none" w:sz="0" w:space="0" w:color="auto"/>
            <w:bottom w:val="none" w:sz="0" w:space="0" w:color="auto"/>
            <w:right w:val="none" w:sz="0" w:space="0" w:color="auto"/>
          </w:divBdr>
        </w:div>
      </w:divsChild>
    </w:div>
    <w:div w:id="1471946392">
      <w:bodyDiv w:val="1"/>
      <w:marLeft w:val="0"/>
      <w:marRight w:val="0"/>
      <w:marTop w:val="0"/>
      <w:marBottom w:val="0"/>
      <w:divBdr>
        <w:top w:val="none" w:sz="0" w:space="0" w:color="auto"/>
        <w:left w:val="none" w:sz="0" w:space="0" w:color="auto"/>
        <w:bottom w:val="none" w:sz="0" w:space="0" w:color="auto"/>
        <w:right w:val="none" w:sz="0" w:space="0" w:color="auto"/>
      </w:divBdr>
    </w:div>
    <w:div w:id="1500196839">
      <w:bodyDiv w:val="1"/>
      <w:marLeft w:val="0"/>
      <w:marRight w:val="0"/>
      <w:marTop w:val="0"/>
      <w:marBottom w:val="0"/>
      <w:divBdr>
        <w:top w:val="none" w:sz="0" w:space="0" w:color="auto"/>
        <w:left w:val="none" w:sz="0" w:space="0" w:color="auto"/>
        <w:bottom w:val="none" w:sz="0" w:space="0" w:color="auto"/>
        <w:right w:val="none" w:sz="0" w:space="0" w:color="auto"/>
      </w:divBdr>
    </w:div>
    <w:div w:id="1557398401">
      <w:bodyDiv w:val="1"/>
      <w:marLeft w:val="0"/>
      <w:marRight w:val="0"/>
      <w:marTop w:val="0"/>
      <w:marBottom w:val="0"/>
      <w:divBdr>
        <w:top w:val="none" w:sz="0" w:space="0" w:color="auto"/>
        <w:left w:val="none" w:sz="0" w:space="0" w:color="auto"/>
        <w:bottom w:val="none" w:sz="0" w:space="0" w:color="auto"/>
        <w:right w:val="none" w:sz="0" w:space="0" w:color="auto"/>
      </w:divBdr>
    </w:div>
    <w:div w:id="1576629288">
      <w:bodyDiv w:val="1"/>
      <w:marLeft w:val="0"/>
      <w:marRight w:val="0"/>
      <w:marTop w:val="0"/>
      <w:marBottom w:val="0"/>
      <w:divBdr>
        <w:top w:val="none" w:sz="0" w:space="0" w:color="auto"/>
        <w:left w:val="none" w:sz="0" w:space="0" w:color="auto"/>
        <w:bottom w:val="none" w:sz="0" w:space="0" w:color="auto"/>
        <w:right w:val="none" w:sz="0" w:space="0" w:color="auto"/>
      </w:divBdr>
    </w:div>
    <w:div w:id="1579248813">
      <w:bodyDiv w:val="1"/>
      <w:marLeft w:val="0"/>
      <w:marRight w:val="0"/>
      <w:marTop w:val="0"/>
      <w:marBottom w:val="0"/>
      <w:divBdr>
        <w:top w:val="none" w:sz="0" w:space="0" w:color="auto"/>
        <w:left w:val="none" w:sz="0" w:space="0" w:color="auto"/>
        <w:bottom w:val="none" w:sz="0" w:space="0" w:color="auto"/>
        <w:right w:val="none" w:sz="0" w:space="0" w:color="auto"/>
      </w:divBdr>
    </w:div>
    <w:div w:id="1642996784">
      <w:bodyDiv w:val="1"/>
      <w:marLeft w:val="0"/>
      <w:marRight w:val="0"/>
      <w:marTop w:val="0"/>
      <w:marBottom w:val="0"/>
      <w:divBdr>
        <w:top w:val="none" w:sz="0" w:space="0" w:color="auto"/>
        <w:left w:val="none" w:sz="0" w:space="0" w:color="auto"/>
        <w:bottom w:val="none" w:sz="0" w:space="0" w:color="auto"/>
        <w:right w:val="none" w:sz="0" w:space="0" w:color="auto"/>
      </w:divBdr>
    </w:div>
    <w:div w:id="1773889551">
      <w:bodyDiv w:val="1"/>
      <w:marLeft w:val="0"/>
      <w:marRight w:val="0"/>
      <w:marTop w:val="0"/>
      <w:marBottom w:val="0"/>
      <w:divBdr>
        <w:top w:val="none" w:sz="0" w:space="0" w:color="auto"/>
        <w:left w:val="none" w:sz="0" w:space="0" w:color="auto"/>
        <w:bottom w:val="none" w:sz="0" w:space="0" w:color="auto"/>
        <w:right w:val="none" w:sz="0" w:space="0" w:color="auto"/>
      </w:divBdr>
    </w:div>
    <w:div w:id="1805004783">
      <w:bodyDiv w:val="1"/>
      <w:marLeft w:val="0"/>
      <w:marRight w:val="0"/>
      <w:marTop w:val="0"/>
      <w:marBottom w:val="0"/>
      <w:divBdr>
        <w:top w:val="none" w:sz="0" w:space="0" w:color="auto"/>
        <w:left w:val="none" w:sz="0" w:space="0" w:color="auto"/>
        <w:bottom w:val="none" w:sz="0" w:space="0" w:color="auto"/>
        <w:right w:val="none" w:sz="0" w:space="0" w:color="auto"/>
      </w:divBdr>
    </w:div>
    <w:div w:id="1838688133">
      <w:bodyDiv w:val="1"/>
      <w:marLeft w:val="0"/>
      <w:marRight w:val="0"/>
      <w:marTop w:val="0"/>
      <w:marBottom w:val="0"/>
      <w:divBdr>
        <w:top w:val="none" w:sz="0" w:space="0" w:color="auto"/>
        <w:left w:val="none" w:sz="0" w:space="0" w:color="auto"/>
        <w:bottom w:val="none" w:sz="0" w:space="0" w:color="auto"/>
        <w:right w:val="none" w:sz="0" w:space="0" w:color="auto"/>
      </w:divBdr>
    </w:div>
    <w:div w:id="1859149421">
      <w:bodyDiv w:val="1"/>
      <w:marLeft w:val="0"/>
      <w:marRight w:val="0"/>
      <w:marTop w:val="0"/>
      <w:marBottom w:val="0"/>
      <w:divBdr>
        <w:top w:val="none" w:sz="0" w:space="0" w:color="auto"/>
        <w:left w:val="none" w:sz="0" w:space="0" w:color="auto"/>
        <w:bottom w:val="none" w:sz="0" w:space="0" w:color="auto"/>
        <w:right w:val="none" w:sz="0" w:space="0" w:color="auto"/>
      </w:divBdr>
    </w:div>
    <w:div w:id="1862860806">
      <w:bodyDiv w:val="1"/>
      <w:marLeft w:val="0"/>
      <w:marRight w:val="0"/>
      <w:marTop w:val="0"/>
      <w:marBottom w:val="0"/>
      <w:divBdr>
        <w:top w:val="none" w:sz="0" w:space="0" w:color="auto"/>
        <w:left w:val="none" w:sz="0" w:space="0" w:color="auto"/>
        <w:bottom w:val="none" w:sz="0" w:space="0" w:color="auto"/>
        <w:right w:val="none" w:sz="0" w:space="0" w:color="auto"/>
      </w:divBdr>
    </w:div>
    <w:div w:id="2028214359">
      <w:bodyDiv w:val="1"/>
      <w:marLeft w:val="0"/>
      <w:marRight w:val="0"/>
      <w:marTop w:val="0"/>
      <w:marBottom w:val="0"/>
      <w:divBdr>
        <w:top w:val="none" w:sz="0" w:space="0" w:color="auto"/>
        <w:left w:val="none" w:sz="0" w:space="0" w:color="auto"/>
        <w:bottom w:val="none" w:sz="0" w:space="0" w:color="auto"/>
        <w:right w:val="none" w:sz="0" w:space="0" w:color="auto"/>
      </w:divBdr>
    </w:div>
    <w:div w:id="2038968819">
      <w:bodyDiv w:val="1"/>
      <w:marLeft w:val="0"/>
      <w:marRight w:val="0"/>
      <w:marTop w:val="0"/>
      <w:marBottom w:val="0"/>
      <w:divBdr>
        <w:top w:val="none" w:sz="0" w:space="0" w:color="auto"/>
        <w:left w:val="none" w:sz="0" w:space="0" w:color="auto"/>
        <w:bottom w:val="none" w:sz="0" w:space="0" w:color="auto"/>
        <w:right w:val="none" w:sz="0" w:space="0" w:color="auto"/>
      </w:divBdr>
    </w:div>
    <w:div w:id="2101291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76E1A-E73A-4298-BDE1-DD81E224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A68A933.dotm</Template>
  <TotalTime>0</TotalTime>
  <Pages>12</Pages>
  <Words>4123</Words>
  <Characters>22382</Characters>
  <Application>Microsoft Office Word</Application>
  <DocSecurity>8</DocSecurity>
  <Lines>186</Lines>
  <Paragraphs>52</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26453</CharactersWithSpaces>
  <SharedDoc>false</SharedDoc>
  <HLinks>
    <vt:vector size="36" baseType="variant">
      <vt:variant>
        <vt:i4>6357026</vt:i4>
      </vt:variant>
      <vt:variant>
        <vt:i4>18</vt:i4>
      </vt:variant>
      <vt:variant>
        <vt:i4>0</vt:i4>
      </vt:variant>
      <vt:variant>
        <vt:i4>5</vt:i4>
      </vt:variant>
      <vt:variant>
        <vt:lpwstr>http://www.vcat.vic.gov.au/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18</vt:i4>
      </vt:variant>
      <vt:variant>
        <vt:i4>0</vt:i4>
      </vt:variant>
      <vt:variant>
        <vt:i4>5</vt:i4>
      </vt:variant>
      <vt:variant>
        <vt:lpwstr>mailto:admin@vcat.vic.gov.au</vt:lpwstr>
      </vt:variant>
      <vt:variant>
        <vt:lpwstr/>
      </vt:variant>
      <vt:variant>
        <vt:i4>6357026</vt:i4>
      </vt:variant>
      <vt:variant>
        <vt:i4>15</vt:i4>
      </vt:variant>
      <vt:variant>
        <vt:i4>0</vt:i4>
      </vt:variant>
      <vt:variant>
        <vt:i4>5</vt:i4>
      </vt:variant>
      <vt:variant>
        <vt:lpwstr>http://www.vcat.vic.gov.au/</vt:lpwstr>
      </vt:variant>
      <vt:variant>
        <vt:lpwstr/>
      </vt:variant>
      <vt:variant>
        <vt:i4>4849781</vt:i4>
      </vt:variant>
      <vt:variant>
        <vt:i4>12</vt:i4>
      </vt:variant>
      <vt:variant>
        <vt:i4>0</vt:i4>
      </vt:variant>
      <vt:variant>
        <vt:i4>5</vt:i4>
      </vt:variant>
      <vt:variant>
        <vt:lpwstr>mailto:admin@vcat.vic.gov.au</vt:lpwstr>
      </vt:variant>
      <vt:variant>
        <vt:lpwstr/>
      </vt:variant>
      <vt:variant>
        <vt:i4>6357026</vt:i4>
      </vt:variant>
      <vt:variant>
        <vt:i4>9</vt:i4>
      </vt:variant>
      <vt:variant>
        <vt:i4>0</vt:i4>
      </vt:variant>
      <vt:variant>
        <vt:i4>5</vt:i4>
      </vt:variant>
      <vt:variant>
        <vt:lpwstr>http://www.vcat.vic.gov.au/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Margaret Baird (CSV)</dc:creator>
  <cp:keywords/>
  <dc:description/>
  <cp:lastModifiedBy>Pat C Fernando (CSV)</cp:lastModifiedBy>
  <cp:revision>3</cp:revision>
  <cp:lastPrinted>2020-06-28T21:37:00Z</cp:lastPrinted>
  <dcterms:created xsi:type="dcterms:W3CDTF">2020-06-28T21:37:00Z</dcterms:created>
  <dcterms:modified xsi:type="dcterms:W3CDTF">2020-06-29T01:46:00Z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ID">
    <vt:lpwstr/>
  </property>
</Properties>
</file>