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5CA54" w14:textId="23AF0E40" w:rsidR="00322661" w:rsidRDefault="008C6667" w:rsidP="00322661">
      <w:pPr>
        <w:pStyle w:val="TitlePage1"/>
      </w:pPr>
      <w:r>
        <w:rPr>
          <w:noProof/>
          <w:lang w:eastAsia="en-AU"/>
        </w:rPr>
        <w:drawing>
          <wp:anchor distT="0" distB="0" distL="114300" distR="114300" simplePos="0" relativeHeight="251658240" behindDoc="1" locked="0" layoutInCell="1" allowOverlap="1" wp14:anchorId="0DC276AF" wp14:editId="47488C9F">
            <wp:simplePos x="0" y="0"/>
            <wp:positionH relativeFrom="column">
              <wp:posOffset>5183505</wp:posOffset>
            </wp:positionH>
            <wp:positionV relativeFrom="paragraph">
              <wp:posOffset>8459470</wp:posOffset>
            </wp:positionV>
            <wp:extent cx="1080000" cy="1080000"/>
            <wp:effectExtent l="0" t="0" r="6350" b="6350"/>
            <wp:wrapNone/>
            <wp:docPr id="13" name="VCAT Seal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22661">
        <w:t>VICTORIAN CIVIL AND ADMINISTRATIVE TRIBUNAL</w:t>
      </w:r>
    </w:p>
    <w:p w14:paraId="0F4FD189" w14:textId="77777777" w:rsidR="00322661" w:rsidRDefault="00347CF7" w:rsidP="00A53761">
      <w:pPr>
        <w:pStyle w:val="TitlePage1"/>
        <w:spacing w:after="120"/>
      </w:pPr>
      <w:bookmarkStart w:id="0" w:name="Division"/>
      <w:bookmarkEnd w:id="0"/>
      <w:r>
        <w:t>planning and environment</w:t>
      </w:r>
      <w:r w:rsidR="00322661">
        <w:t xml:space="preserve"> DIVISION</w:t>
      </w:r>
    </w:p>
    <w:tbl>
      <w:tblPr>
        <w:tblW w:w="5083" w:type="pct"/>
        <w:tblInd w:w="-142" w:type="dxa"/>
        <w:tblLook w:val="0000" w:firstRow="0" w:lastRow="0" w:firstColumn="0" w:lastColumn="0" w:noHBand="0" w:noVBand="0"/>
      </w:tblPr>
      <w:tblGrid>
        <w:gridCol w:w="4636"/>
        <w:gridCol w:w="4010"/>
      </w:tblGrid>
      <w:tr w:rsidR="00322661" w14:paraId="761866EE" w14:textId="77777777" w:rsidTr="008B2443">
        <w:trPr>
          <w:cantSplit/>
        </w:trPr>
        <w:tc>
          <w:tcPr>
            <w:tcW w:w="2681" w:type="pct"/>
          </w:tcPr>
          <w:p w14:paraId="04262028" w14:textId="77777777" w:rsidR="00322661" w:rsidRDefault="00322661" w:rsidP="00BC190D">
            <w:pPr>
              <w:pStyle w:val="TitlePage2"/>
            </w:pPr>
            <w:bookmarkStart w:id="1" w:name="SubDivision"/>
            <w:bookmarkEnd w:id="1"/>
            <w:r>
              <w:t>planning and environment LIST</w:t>
            </w:r>
          </w:p>
        </w:tc>
        <w:tc>
          <w:tcPr>
            <w:tcW w:w="2319" w:type="pct"/>
          </w:tcPr>
          <w:p w14:paraId="45AC5887" w14:textId="77777777" w:rsidR="00322661" w:rsidRDefault="00322661" w:rsidP="00BC190D">
            <w:pPr>
              <w:pStyle w:val="TitlePage3"/>
            </w:pPr>
            <w:bookmarkStart w:id="2" w:name="FileNo1"/>
            <w:bookmarkEnd w:id="2"/>
            <w:r>
              <w:t xml:space="preserve">vcat reference No. </w:t>
            </w:r>
            <w:r w:rsidR="008274FC">
              <w:t>P</w:t>
            </w:r>
            <w:r w:rsidR="004D7451">
              <w:t>304/2019</w:t>
            </w:r>
          </w:p>
          <w:p w14:paraId="7FCCFD25" w14:textId="77777777" w:rsidR="00322661" w:rsidRDefault="00322661" w:rsidP="00BC190D">
            <w:pPr>
              <w:pStyle w:val="TitlePage3"/>
            </w:pPr>
            <w:r>
              <w:t xml:space="preserve">Permit Application no. </w:t>
            </w:r>
            <w:r w:rsidR="004D7451">
              <w:t>TPA/49441</w:t>
            </w:r>
          </w:p>
        </w:tc>
      </w:tr>
      <w:tr w:rsidR="00322661" w14:paraId="08EB4183" w14:textId="77777777" w:rsidTr="008B2443">
        <w:tblPrEx>
          <w:jc w:val="center"/>
          <w:tblInd w:w="0" w:type="dxa"/>
        </w:tblPrEx>
        <w:trPr>
          <w:cantSplit/>
          <w:jc w:val="center"/>
        </w:trPr>
        <w:tc>
          <w:tcPr>
            <w:tcW w:w="5000" w:type="pct"/>
            <w:gridSpan w:val="2"/>
          </w:tcPr>
          <w:p w14:paraId="2131A748" w14:textId="77777777" w:rsidR="00322661" w:rsidRDefault="00322661" w:rsidP="00BC190D">
            <w:pPr>
              <w:pStyle w:val="TitlePage2"/>
              <w:jc w:val="center"/>
            </w:pPr>
            <w:r>
              <w:t>CATCHWORDS</w:t>
            </w:r>
          </w:p>
        </w:tc>
      </w:tr>
      <w:tr w:rsidR="00322661" w14:paraId="71A661C4" w14:textId="77777777" w:rsidTr="008B2443">
        <w:tblPrEx>
          <w:jc w:val="center"/>
          <w:tblInd w:w="0" w:type="dxa"/>
        </w:tblPrEx>
        <w:trPr>
          <w:cantSplit/>
          <w:jc w:val="center"/>
        </w:trPr>
        <w:tc>
          <w:tcPr>
            <w:tcW w:w="5000" w:type="pct"/>
            <w:gridSpan w:val="2"/>
          </w:tcPr>
          <w:p w14:paraId="443CF596" w14:textId="63A45337" w:rsidR="00322661" w:rsidRDefault="00C57B14" w:rsidP="00D7592A">
            <w:pPr>
              <w:pStyle w:val="Heading3"/>
            </w:pPr>
            <w:r w:rsidRPr="009438C0">
              <w:rPr>
                <w:rFonts w:ascii="Times New Roman" w:hAnsi="Times New Roman"/>
                <w:b w:val="0"/>
                <w:bCs w:val="0"/>
                <w:iCs w:val="0"/>
                <w:sz w:val="20"/>
                <w:szCs w:val="26"/>
              </w:rPr>
              <w:t xml:space="preserve">Section </w:t>
            </w:r>
            <w:r w:rsidR="004D7451" w:rsidRPr="009438C0">
              <w:rPr>
                <w:rFonts w:ascii="Times New Roman" w:hAnsi="Times New Roman"/>
                <w:b w:val="0"/>
                <w:bCs w:val="0"/>
                <w:iCs w:val="0"/>
                <w:sz w:val="20"/>
                <w:szCs w:val="26"/>
              </w:rPr>
              <w:t>80</w:t>
            </w:r>
            <w:r w:rsidRPr="009438C0">
              <w:rPr>
                <w:rFonts w:ascii="Times New Roman" w:hAnsi="Times New Roman"/>
                <w:b w:val="0"/>
                <w:bCs w:val="0"/>
                <w:iCs w:val="0"/>
                <w:sz w:val="20"/>
                <w:szCs w:val="26"/>
              </w:rPr>
              <w:t xml:space="preserve"> </w:t>
            </w:r>
            <w:r w:rsidRPr="009438C0">
              <w:rPr>
                <w:rFonts w:ascii="Times New Roman" w:hAnsi="Times New Roman"/>
                <w:b w:val="0"/>
                <w:bCs w:val="0"/>
                <w:i/>
                <w:iCs w:val="0"/>
                <w:sz w:val="20"/>
                <w:szCs w:val="26"/>
              </w:rPr>
              <w:t>Planning and Environment Act 1987</w:t>
            </w:r>
            <w:r w:rsidR="00D7592A" w:rsidRPr="009438C0">
              <w:rPr>
                <w:rFonts w:ascii="Times New Roman" w:hAnsi="Times New Roman"/>
                <w:b w:val="0"/>
                <w:bCs w:val="0"/>
                <w:i/>
                <w:iCs w:val="0"/>
                <w:sz w:val="20"/>
                <w:szCs w:val="26"/>
              </w:rPr>
              <w:t>,</w:t>
            </w:r>
            <w:r w:rsidRPr="009438C0">
              <w:rPr>
                <w:rFonts w:ascii="Times New Roman" w:hAnsi="Times New Roman"/>
                <w:b w:val="0"/>
                <w:bCs w:val="0"/>
                <w:i/>
                <w:iCs w:val="0"/>
                <w:sz w:val="20"/>
                <w:szCs w:val="26"/>
              </w:rPr>
              <w:t xml:space="preserve"> </w:t>
            </w:r>
            <w:r w:rsidR="004D7451" w:rsidRPr="009438C0">
              <w:rPr>
                <w:rFonts w:ascii="Times New Roman" w:hAnsi="Times New Roman"/>
                <w:b w:val="0"/>
                <w:bCs w:val="0"/>
                <w:iCs w:val="0"/>
                <w:sz w:val="20"/>
                <w:szCs w:val="26"/>
              </w:rPr>
              <w:t xml:space="preserve">upper level setbacks, neighbourhood character, internal amenity, </w:t>
            </w:r>
            <w:r w:rsidR="009438C0" w:rsidRPr="009438C0">
              <w:rPr>
                <w:rFonts w:ascii="Times New Roman" w:hAnsi="Times New Roman"/>
                <w:b w:val="0"/>
                <w:bCs w:val="0"/>
                <w:iCs w:val="0"/>
                <w:sz w:val="20"/>
                <w:szCs w:val="26"/>
              </w:rPr>
              <w:t>size of living rooms for nine bedroom dwellings.</w:t>
            </w:r>
          </w:p>
        </w:tc>
      </w:tr>
    </w:tbl>
    <w:p w14:paraId="17019A16" w14:textId="77777777" w:rsidR="00322661" w:rsidRDefault="00322661" w:rsidP="00322661">
      <w:bookmarkStart w:id="3" w:name="Catchwords"/>
      <w:bookmarkEnd w:id="3"/>
    </w:p>
    <w:tbl>
      <w:tblPr>
        <w:tblW w:w="5083" w:type="pct"/>
        <w:tblInd w:w="-142" w:type="dxa"/>
        <w:tblLook w:val="04A0" w:firstRow="1" w:lastRow="0" w:firstColumn="1" w:lastColumn="0" w:noHBand="0" w:noVBand="1"/>
      </w:tblPr>
      <w:tblGrid>
        <w:gridCol w:w="3687"/>
        <w:gridCol w:w="4959"/>
      </w:tblGrid>
      <w:tr w:rsidR="00322661" w14:paraId="6EE0D358" w14:textId="77777777" w:rsidTr="008B2443">
        <w:tc>
          <w:tcPr>
            <w:tcW w:w="2132" w:type="pct"/>
            <w:hideMark/>
          </w:tcPr>
          <w:p w14:paraId="3380F777" w14:textId="77777777" w:rsidR="00322661" w:rsidRDefault="00322661" w:rsidP="00BC190D">
            <w:pPr>
              <w:pStyle w:val="TitlePage2"/>
            </w:pPr>
            <w:bookmarkStart w:id="4" w:name="DELcomplainants2"/>
            <w:bookmarkStart w:id="5" w:name="DELapp"/>
            <w:bookmarkStart w:id="6" w:name="DELitmo"/>
            <w:bookmarkStart w:id="7" w:name="DELcar"/>
            <w:r>
              <w:t>APPLICANT</w:t>
            </w:r>
          </w:p>
        </w:tc>
        <w:tc>
          <w:tcPr>
            <w:tcW w:w="2868" w:type="pct"/>
          </w:tcPr>
          <w:p w14:paraId="75A24FEB" w14:textId="77777777" w:rsidR="00322661" w:rsidRDefault="004D7451" w:rsidP="00BC190D">
            <w:pPr>
              <w:pStyle w:val="TitlePagetext"/>
            </w:pPr>
            <w:bookmarkStart w:id="8" w:name="Applicant"/>
            <w:bookmarkEnd w:id="8"/>
            <w:r>
              <w:t>Clayton Road Oakleigh Pty Ltd</w:t>
            </w:r>
          </w:p>
        </w:tc>
      </w:tr>
      <w:tr w:rsidR="00322661" w14:paraId="62DDD360" w14:textId="77777777" w:rsidTr="008B2443">
        <w:tc>
          <w:tcPr>
            <w:tcW w:w="2132" w:type="pct"/>
            <w:hideMark/>
          </w:tcPr>
          <w:p w14:paraId="4218C33E" w14:textId="77777777" w:rsidR="00322661" w:rsidRDefault="00322661" w:rsidP="00BC190D">
            <w:pPr>
              <w:pStyle w:val="TitlePage2"/>
            </w:pPr>
            <w:r>
              <w:t>responsible authority</w:t>
            </w:r>
          </w:p>
        </w:tc>
        <w:tc>
          <w:tcPr>
            <w:tcW w:w="2868" w:type="pct"/>
          </w:tcPr>
          <w:p w14:paraId="4B06E722" w14:textId="77777777" w:rsidR="00322661" w:rsidRDefault="004D7451" w:rsidP="00BC190D">
            <w:pPr>
              <w:pStyle w:val="TitlePagetext"/>
            </w:pPr>
            <w:r>
              <w:t>Monash City Council</w:t>
            </w:r>
          </w:p>
        </w:tc>
      </w:tr>
      <w:tr w:rsidR="00322661" w14:paraId="04A6CB26" w14:textId="77777777" w:rsidTr="008B2443">
        <w:tc>
          <w:tcPr>
            <w:tcW w:w="2132" w:type="pct"/>
            <w:hideMark/>
          </w:tcPr>
          <w:p w14:paraId="7302E369" w14:textId="77777777" w:rsidR="00322661" w:rsidRDefault="00322661" w:rsidP="00BC190D">
            <w:pPr>
              <w:pStyle w:val="TitlePage2"/>
            </w:pPr>
            <w:r>
              <w:t>Referral Authority</w:t>
            </w:r>
          </w:p>
        </w:tc>
        <w:tc>
          <w:tcPr>
            <w:tcW w:w="2868" w:type="pct"/>
            <w:hideMark/>
          </w:tcPr>
          <w:p w14:paraId="50DB35AB" w14:textId="77777777" w:rsidR="00322661" w:rsidRDefault="004D7451" w:rsidP="00BC190D">
            <w:pPr>
              <w:pStyle w:val="TitlePagetext"/>
            </w:pPr>
            <w:r>
              <w:t>VicRoads</w:t>
            </w:r>
            <w:r w:rsidR="00322661">
              <w:t xml:space="preserve"> </w:t>
            </w:r>
          </w:p>
        </w:tc>
        <w:bookmarkEnd w:id="4"/>
        <w:bookmarkEnd w:id="5"/>
      </w:tr>
      <w:tr w:rsidR="00322661" w14:paraId="18A4BE35" w14:textId="77777777" w:rsidTr="008B2443">
        <w:tc>
          <w:tcPr>
            <w:tcW w:w="2132" w:type="pct"/>
            <w:hideMark/>
          </w:tcPr>
          <w:p w14:paraId="0DCC251C" w14:textId="77777777" w:rsidR="00322661" w:rsidRDefault="00322661" w:rsidP="00BC190D">
            <w:pPr>
              <w:pStyle w:val="TitlePage2"/>
            </w:pPr>
            <w:bookmarkStart w:id="9" w:name="DELrespondents2"/>
            <w:bookmarkStart w:id="10" w:name="DELsubjectland"/>
            <w:r>
              <w:t>SUBJECT LAND</w:t>
            </w:r>
          </w:p>
        </w:tc>
        <w:tc>
          <w:tcPr>
            <w:tcW w:w="2868" w:type="pct"/>
          </w:tcPr>
          <w:p w14:paraId="6BB84E67" w14:textId="77777777" w:rsidR="00322661" w:rsidRDefault="004D7451" w:rsidP="00BC190D">
            <w:pPr>
              <w:pStyle w:val="TitlePagetext"/>
            </w:pPr>
            <w:bookmarkStart w:id="11" w:name="subjectland"/>
            <w:bookmarkStart w:id="12" w:name="_GoBack"/>
            <w:bookmarkEnd w:id="11"/>
            <w:r>
              <w:t>121 Clayton Road, Oakleigh East</w:t>
            </w:r>
            <w:bookmarkEnd w:id="12"/>
          </w:p>
        </w:tc>
        <w:bookmarkEnd w:id="6"/>
        <w:bookmarkEnd w:id="7"/>
        <w:bookmarkEnd w:id="9"/>
        <w:bookmarkEnd w:id="10"/>
      </w:tr>
      <w:tr w:rsidR="00322661" w14:paraId="1B534BA3" w14:textId="77777777" w:rsidTr="008B2443">
        <w:tc>
          <w:tcPr>
            <w:tcW w:w="2132" w:type="pct"/>
            <w:hideMark/>
          </w:tcPr>
          <w:p w14:paraId="0321A33E" w14:textId="77777777" w:rsidR="00322661" w:rsidRDefault="00322661" w:rsidP="00BC190D">
            <w:pPr>
              <w:pStyle w:val="TitlePage2"/>
            </w:pPr>
            <w:bookmarkStart w:id="13" w:name="INSresponsibleAuthority"/>
            <w:bookmarkEnd w:id="13"/>
            <w:r>
              <w:t>WHERE HELD</w:t>
            </w:r>
          </w:p>
        </w:tc>
        <w:tc>
          <w:tcPr>
            <w:tcW w:w="2868" w:type="pct"/>
            <w:hideMark/>
          </w:tcPr>
          <w:p w14:paraId="3C80268A" w14:textId="77777777" w:rsidR="00322661" w:rsidRDefault="00322661" w:rsidP="00BC190D">
            <w:pPr>
              <w:pStyle w:val="TitlePagetext"/>
            </w:pPr>
            <w:bookmarkStart w:id="14" w:name="Location"/>
            <w:bookmarkEnd w:id="14"/>
            <w:r>
              <w:t>Melbourne</w:t>
            </w:r>
          </w:p>
        </w:tc>
      </w:tr>
      <w:tr w:rsidR="00322661" w14:paraId="798131E9" w14:textId="77777777" w:rsidTr="008B2443">
        <w:tc>
          <w:tcPr>
            <w:tcW w:w="2132" w:type="pct"/>
            <w:hideMark/>
          </w:tcPr>
          <w:p w14:paraId="65896BFA" w14:textId="77777777" w:rsidR="00322661" w:rsidRDefault="00322661" w:rsidP="00BC190D">
            <w:pPr>
              <w:pStyle w:val="TitlePage2"/>
            </w:pPr>
            <w:r>
              <w:t>BEFORE</w:t>
            </w:r>
          </w:p>
        </w:tc>
        <w:tc>
          <w:tcPr>
            <w:tcW w:w="2868" w:type="pct"/>
            <w:hideMark/>
          </w:tcPr>
          <w:p w14:paraId="640045C3" w14:textId="77777777" w:rsidR="00322661" w:rsidRDefault="00B95BF7" w:rsidP="00BC190D">
            <w:pPr>
              <w:pStyle w:val="TitlePagetext"/>
            </w:pPr>
            <w:bookmarkStart w:id="15" w:name="Before"/>
            <w:bookmarkEnd w:id="15"/>
            <w:r>
              <w:t>Alison Glynn</w:t>
            </w:r>
            <w:r w:rsidR="00322661">
              <w:t>, Member</w:t>
            </w:r>
          </w:p>
        </w:tc>
      </w:tr>
      <w:tr w:rsidR="00322661" w14:paraId="1CA0649A" w14:textId="77777777" w:rsidTr="008B2443">
        <w:tc>
          <w:tcPr>
            <w:tcW w:w="2132" w:type="pct"/>
            <w:hideMark/>
          </w:tcPr>
          <w:p w14:paraId="6C64C34F" w14:textId="77777777" w:rsidR="00322661" w:rsidRDefault="00322661" w:rsidP="00BC190D">
            <w:pPr>
              <w:pStyle w:val="TitlePage2"/>
            </w:pPr>
            <w:r>
              <w:t>HEARING TYPE</w:t>
            </w:r>
          </w:p>
        </w:tc>
        <w:tc>
          <w:tcPr>
            <w:tcW w:w="2868" w:type="pct"/>
            <w:hideMark/>
          </w:tcPr>
          <w:p w14:paraId="70A59DB7" w14:textId="77777777" w:rsidR="00322661" w:rsidRDefault="00322661" w:rsidP="00BC190D">
            <w:pPr>
              <w:pStyle w:val="TitlePagetext"/>
            </w:pPr>
            <w:bookmarkStart w:id="16" w:name="HearingType"/>
            <w:bookmarkEnd w:id="16"/>
            <w:r>
              <w:t xml:space="preserve">Hearing </w:t>
            </w:r>
          </w:p>
        </w:tc>
      </w:tr>
      <w:tr w:rsidR="00322661" w14:paraId="72CC3BAD" w14:textId="77777777" w:rsidTr="008B2443">
        <w:tc>
          <w:tcPr>
            <w:tcW w:w="2132" w:type="pct"/>
            <w:hideMark/>
          </w:tcPr>
          <w:p w14:paraId="504029CE" w14:textId="77777777" w:rsidR="00322661" w:rsidRDefault="00322661" w:rsidP="00BC190D">
            <w:pPr>
              <w:pStyle w:val="TitlePage2"/>
            </w:pPr>
            <w:r>
              <w:t>DATE OF HEARING</w:t>
            </w:r>
          </w:p>
        </w:tc>
        <w:tc>
          <w:tcPr>
            <w:tcW w:w="2868" w:type="pct"/>
            <w:hideMark/>
          </w:tcPr>
          <w:p w14:paraId="4890B713" w14:textId="77777777" w:rsidR="00322661" w:rsidRDefault="004D7451" w:rsidP="00BC190D">
            <w:pPr>
              <w:pStyle w:val="TitlePagetext"/>
            </w:pPr>
            <w:bookmarkStart w:id="17" w:name="HearingDate"/>
            <w:bookmarkEnd w:id="17"/>
            <w:r>
              <w:t>12 August 2019</w:t>
            </w:r>
          </w:p>
        </w:tc>
      </w:tr>
      <w:tr w:rsidR="00322661" w14:paraId="18F2D607" w14:textId="77777777" w:rsidTr="008B2443">
        <w:tc>
          <w:tcPr>
            <w:tcW w:w="2132" w:type="pct"/>
            <w:hideMark/>
          </w:tcPr>
          <w:p w14:paraId="201A4BA5" w14:textId="77777777" w:rsidR="00322661" w:rsidRDefault="00322661" w:rsidP="00BC190D">
            <w:pPr>
              <w:pStyle w:val="TitlePage2"/>
            </w:pPr>
            <w:r>
              <w:t>DATE OF ORDER</w:t>
            </w:r>
          </w:p>
        </w:tc>
        <w:tc>
          <w:tcPr>
            <w:tcW w:w="2868" w:type="pct"/>
          </w:tcPr>
          <w:p w14:paraId="2BD4ACB8" w14:textId="5D4F9599" w:rsidR="00322661" w:rsidRDefault="00A1192F" w:rsidP="00BC190D">
            <w:pPr>
              <w:pStyle w:val="TitlePagetext"/>
            </w:pPr>
            <w:bookmarkStart w:id="18" w:name="DateOrder"/>
            <w:bookmarkEnd w:id="18"/>
            <w:r>
              <w:t>16 August 2019</w:t>
            </w:r>
          </w:p>
        </w:tc>
      </w:tr>
      <w:tr w:rsidR="00322661" w14:paraId="5FB77C87" w14:textId="77777777" w:rsidTr="008B2443">
        <w:tc>
          <w:tcPr>
            <w:tcW w:w="2132" w:type="pct"/>
            <w:hideMark/>
          </w:tcPr>
          <w:p w14:paraId="37099373" w14:textId="77777777" w:rsidR="00322661" w:rsidRDefault="00322661" w:rsidP="00BC190D">
            <w:pPr>
              <w:pStyle w:val="TitlePage2"/>
            </w:pPr>
            <w:r>
              <w:t>CITATION</w:t>
            </w:r>
          </w:p>
        </w:tc>
        <w:tc>
          <w:tcPr>
            <w:tcW w:w="2868" w:type="pct"/>
            <w:hideMark/>
          </w:tcPr>
          <w:p w14:paraId="056A7281" w14:textId="16AF7190" w:rsidR="00322661" w:rsidRDefault="00A1192F" w:rsidP="00BC190D">
            <w:pPr>
              <w:pStyle w:val="TitlePagetext"/>
            </w:pPr>
            <w:r>
              <w:t>Clayton Road Oakleigh Pty Ltd v Monash CC [2019] VCAT</w:t>
            </w:r>
            <w:r w:rsidR="00416F9B">
              <w:t xml:space="preserve"> 1239</w:t>
            </w:r>
          </w:p>
        </w:tc>
      </w:tr>
    </w:tbl>
    <w:p w14:paraId="18190B6A" w14:textId="77777777" w:rsidR="006202C5" w:rsidRDefault="006202C5" w:rsidP="00322661">
      <w:pPr>
        <w:pStyle w:val="Heading1"/>
      </w:pPr>
    </w:p>
    <w:p w14:paraId="0398CF51" w14:textId="086EA769" w:rsidR="00322661" w:rsidRDefault="00322661" w:rsidP="00322661">
      <w:pPr>
        <w:pStyle w:val="Heading1"/>
      </w:pPr>
      <w:r>
        <w:t>Order</w:t>
      </w:r>
    </w:p>
    <w:p w14:paraId="18560AE1" w14:textId="77777777" w:rsidR="004D7451" w:rsidRDefault="004D7451" w:rsidP="00507771">
      <w:pPr>
        <w:pStyle w:val="Heading3"/>
      </w:pPr>
      <w:r>
        <w:t>Conditions changed</w:t>
      </w:r>
    </w:p>
    <w:p w14:paraId="37EC12E9" w14:textId="77777777" w:rsidR="004D7451" w:rsidRDefault="004D7451" w:rsidP="004D7451">
      <w:pPr>
        <w:pStyle w:val="Order2"/>
        <w:numPr>
          <w:ilvl w:val="0"/>
          <w:numId w:val="9"/>
        </w:numPr>
      </w:pPr>
      <w:r>
        <w:t xml:space="preserve">The decision of the responsible authority is varied.  </w:t>
      </w:r>
    </w:p>
    <w:p w14:paraId="769E3ED2" w14:textId="04742388" w:rsidR="004D7451" w:rsidRDefault="004D7451" w:rsidP="004D7451">
      <w:pPr>
        <w:pStyle w:val="Order2"/>
        <w:numPr>
          <w:ilvl w:val="0"/>
          <w:numId w:val="9"/>
        </w:numPr>
      </w:pPr>
      <w:r>
        <w:t xml:space="preserve">The Tribunal directs that planning permit </w:t>
      </w:r>
      <w:r w:rsidR="004D3CCA">
        <w:t>TPA/49441</w:t>
      </w:r>
      <w:r>
        <w:t xml:space="preserve"> must contain the conditions set out in planning permit </w:t>
      </w:r>
      <w:r w:rsidR="004D3CCA">
        <w:t xml:space="preserve">TPA/49441 </w:t>
      </w:r>
      <w:r>
        <w:t xml:space="preserve">issued by the responsible authority on </w:t>
      </w:r>
      <w:r w:rsidR="00550A95">
        <w:t>18 January 2019</w:t>
      </w:r>
      <w:r>
        <w:t xml:space="preserve"> with the following modifications:</w:t>
      </w:r>
    </w:p>
    <w:p w14:paraId="2FDCF7C0" w14:textId="180327CC" w:rsidR="004D7451" w:rsidRDefault="004D7451" w:rsidP="004D7451">
      <w:pPr>
        <w:pStyle w:val="Order2"/>
        <w:numPr>
          <w:ilvl w:val="1"/>
          <w:numId w:val="9"/>
        </w:numPr>
      </w:pPr>
      <w:r>
        <w:t>Condition</w:t>
      </w:r>
      <w:r w:rsidR="00550A95">
        <w:t xml:space="preserve">s 1a), 1b) 1c) </w:t>
      </w:r>
      <w:r w:rsidR="003E1298">
        <w:t xml:space="preserve">and 1f) </w:t>
      </w:r>
      <w:r w:rsidR="00550A95">
        <w:t>are</w:t>
      </w:r>
      <w:r>
        <w:t xml:space="preserve"> deleted.</w:t>
      </w:r>
    </w:p>
    <w:p w14:paraId="3696BE83" w14:textId="0C9877F6" w:rsidR="00475A0F" w:rsidRPr="00D93DCF" w:rsidRDefault="00475A0F" w:rsidP="00475A0F">
      <w:pPr>
        <w:pStyle w:val="Order2"/>
        <w:numPr>
          <w:ilvl w:val="1"/>
          <w:numId w:val="9"/>
        </w:numPr>
      </w:pPr>
      <w:r w:rsidRPr="00D93DCF">
        <w:t>Condition 1</w:t>
      </w:r>
      <w:r w:rsidR="00DF45F2">
        <w:t>d</w:t>
      </w:r>
      <w:r w:rsidRPr="00D93DCF">
        <w:t>) is amended to read:</w:t>
      </w:r>
    </w:p>
    <w:p w14:paraId="50177477" w14:textId="33005F8C" w:rsidR="00475A0F" w:rsidRPr="00D93DCF" w:rsidRDefault="00475A0F" w:rsidP="00475A0F">
      <w:pPr>
        <w:pStyle w:val="Quote2"/>
      </w:pPr>
      <w:r w:rsidRPr="00D93DCF">
        <w:t>1</w:t>
      </w:r>
      <w:r w:rsidR="00DF45F2">
        <w:t>d</w:t>
      </w:r>
      <w:r w:rsidRPr="00D93DCF">
        <w:t>)</w:t>
      </w:r>
      <w:r w:rsidRPr="00D93DCF">
        <w:tab/>
      </w:r>
      <w:r w:rsidR="00DF45F2">
        <w:t xml:space="preserve">One of bedrooms 1, 2 or 3 </w:t>
      </w:r>
      <w:r w:rsidR="006759BB">
        <w:t xml:space="preserve">of Dwelling 1 </w:t>
      </w:r>
      <w:r w:rsidR="006202C5">
        <w:t>deleted and replaced with additional</w:t>
      </w:r>
      <w:r w:rsidR="006759BB">
        <w:t xml:space="preserve"> dining / living area to allow for a more functional space for the kitchen and dining area to the satisfaction of the responsible authority.</w:t>
      </w:r>
    </w:p>
    <w:p w14:paraId="02296972" w14:textId="77777777" w:rsidR="004D7451" w:rsidRDefault="004D7451" w:rsidP="004D7451">
      <w:pPr>
        <w:pStyle w:val="Order2"/>
        <w:numPr>
          <w:ilvl w:val="1"/>
          <w:numId w:val="9"/>
        </w:numPr>
      </w:pPr>
      <w:r>
        <w:t>Conditions in the planning permit are renumbered accordingly.</w:t>
      </w:r>
    </w:p>
    <w:p w14:paraId="09BEF78F" w14:textId="65E979EF" w:rsidR="004D7451" w:rsidRDefault="008C6667" w:rsidP="004D7451">
      <w:pPr>
        <w:pStyle w:val="Order2"/>
        <w:numPr>
          <w:ilvl w:val="0"/>
          <w:numId w:val="9"/>
        </w:numPr>
      </w:pPr>
      <w:r>
        <w:rPr>
          <w:noProof/>
          <w:lang w:eastAsia="en-AU"/>
        </w:rPr>
        <w:lastRenderedPageBreak/>
        <w:drawing>
          <wp:anchor distT="0" distB="0" distL="114300" distR="114300" simplePos="0" relativeHeight="251659264" behindDoc="1" locked="0" layoutInCell="1" allowOverlap="1" wp14:anchorId="48F7A4AF" wp14:editId="40834F18">
            <wp:simplePos x="0" y="0"/>
            <wp:positionH relativeFrom="column">
              <wp:posOffset>5183505</wp:posOffset>
            </wp:positionH>
            <wp:positionV relativeFrom="paragraph">
              <wp:posOffset>8459470</wp:posOffset>
            </wp:positionV>
            <wp:extent cx="1080000" cy="1080000"/>
            <wp:effectExtent l="0" t="0" r="6350" b="6350"/>
            <wp:wrapNone/>
            <wp:docPr id="14" name="VCAT Seal2"/>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D7451">
        <w:t xml:space="preserve">The responsible authority is directed to issue a modified planning permit in accordance with this order. </w:t>
      </w:r>
    </w:p>
    <w:p w14:paraId="4FFCDEE9" w14:textId="77777777" w:rsidR="006202C5" w:rsidRDefault="006202C5" w:rsidP="006202C5">
      <w:pPr>
        <w:pStyle w:val="Order2"/>
        <w:numPr>
          <w:ilvl w:val="0"/>
          <w:numId w:val="0"/>
        </w:numPr>
        <w:ind w:left="567" w:hanging="567"/>
      </w:pPr>
    </w:p>
    <w:tbl>
      <w:tblPr>
        <w:tblW w:w="5000" w:type="pct"/>
        <w:tblLook w:val="0000" w:firstRow="0" w:lastRow="0" w:firstColumn="0" w:lastColumn="0" w:noHBand="0" w:noVBand="0"/>
      </w:tblPr>
      <w:tblGrid>
        <w:gridCol w:w="2976"/>
        <w:gridCol w:w="2552"/>
        <w:gridCol w:w="2977"/>
      </w:tblGrid>
      <w:tr w:rsidR="00322661" w14:paraId="6BEF7AE9" w14:textId="77777777" w:rsidTr="00BC190D">
        <w:tc>
          <w:tcPr>
            <w:tcW w:w="1750" w:type="pct"/>
          </w:tcPr>
          <w:p w14:paraId="20948793" w14:textId="77777777" w:rsidR="00322661" w:rsidRPr="00B876A2" w:rsidRDefault="00C57B14" w:rsidP="00BC190D">
            <w:pPr>
              <w:rPr>
                <w:b/>
              </w:rPr>
            </w:pPr>
            <w:r>
              <w:rPr>
                <w:b/>
              </w:rPr>
              <w:t>Alison Glynn</w:t>
            </w:r>
          </w:p>
          <w:p w14:paraId="7D21C3A0" w14:textId="77777777" w:rsidR="00322661" w:rsidRDefault="00322661" w:rsidP="00BC190D">
            <w:pPr>
              <w:tabs>
                <w:tab w:val="left" w:pos="1515"/>
              </w:tabs>
              <w:rPr>
                <w:b/>
              </w:rPr>
            </w:pPr>
            <w:r>
              <w:rPr>
                <w:b/>
              </w:rPr>
              <w:t>Member</w:t>
            </w:r>
          </w:p>
        </w:tc>
        <w:tc>
          <w:tcPr>
            <w:tcW w:w="1500" w:type="pct"/>
          </w:tcPr>
          <w:p w14:paraId="135ADE4B" w14:textId="77777777" w:rsidR="00322661" w:rsidRDefault="00322661" w:rsidP="00BC190D"/>
        </w:tc>
        <w:tc>
          <w:tcPr>
            <w:tcW w:w="1750" w:type="pct"/>
          </w:tcPr>
          <w:p w14:paraId="200E9ED1" w14:textId="77777777" w:rsidR="00322661" w:rsidRDefault="00322661" w:rsidP="00BC190D"/>
        </w:tc>
      </w:tr>
    </w:tbl>
    <w:p w14:paraId="5D4B2551" w14:textId="77777777" w:rsidR="00322661" w:rsidRDefault="00322661" w:rsidP="00322661"/>
    <w:p w14:paraId="26E38B30" w14:textId="1410920E" w:rsidR="00322661" w:rsidRDefault="00322661" w:rsidP="00322661"/>
    <w:p w14:paraId="5ABFEB04" w14:textId="77777777" w:rsidR="004D2A40" w:rsidRDefault="004D2A40" w:rsidP="00322661"/>
    <w:p w14:paraId="025F8676" w14:textId="77777777" w:rsidR="00322661" w:rsidRDefault="00322661" w:rsidP="00322661">
      <w:pPr>
        <w:pStyle w:val="Heading1"/>
        <w:rPr>
          <w:highlight w:val="yellow"/>
        </w:rPr>
      </w:pPr>
      <w:r>
        <w:t>Appearances</w:t>
      </w:r>
    </w:p>
    <w:tbl>
      <w:tblPr>
        <w:tblW w:w="5000" w:type="pct"/>
        <w:tblLook w:val="04A0" w:firstRow="1" w:lastRow="0" w:firstColumn="1" w:lastColumn="0" w:noHBand="0" w:noVBand="1"/>
      </w:tblPr>
      <w:tblGrid>
        <w:gridCol w:w="3441"/>
        <w:gridCol w:w="5064"/>
      </w:tblGrid>
      <w:tr w:rsidR="00322661" w14:paraId="2A6383A7" w14:textId="77777777" w:rsidTr="00BC190D">
        <w:trPr>
          <w:cantSplit/>
        </w:trPr>
        <w:tc>
          <w:tcPr>
            <w:tcW w:w="2023" w:type="pct"/>
            <w:hideMark/>
          </w:tcPr>
          <w:p w14:paraId="25B5FE10" w14:textId="5D5631CA" w:rsidR="00322661" w:rsidRDefault="00322661" w:rsidP="00BC190D">
            <w:pPr>
              <w:pStyle w:val="TitlePagetext"/>
            </w:pPr>
            <w:r>
              <w:t xml:space="preserve">For </w:t>
            </w:r>
            <w:r w:rsidR="003E1298">
              <w:t>Clayton Road Oakleigh Pty Ltd</w:t>
            </w:r>
          </w:p>
        </w:tc>
        <w:tc>
          <w:tcPr>
            <w:tcW w:w="2977" w:type="pct"/>
          </w:tcPr>
          <w:p w14:paraId="51E07133" w14:textId="55FEEBF5" w:rsidR="00322661" w:rsidRPr="003E1298" w:rsidRDefault="003E1298" w:rsidP="00BC190D">
            <w:pPr>
              <w:pStyle w:val="TitlePagetext"/>
            </w:pPr>
            <w:r>
              <w:t>Mr Kyle O’Brien, town planner of David Lock Associates</w:t>
            </w:r>
            <w:r w:rsidR="00985B49">
              <w:t xml:space="preserve"> Pty Ltd.</w:t>
            </w:r>
          </w:p>
        </w:tc>
      </w:tr>
      <w:tr w:rsidR="00322661" w14:paraId="61C61F8D" w14:textId="77777777" w:rsidTr="00BC190D">
        <w:trPr>
          <w:cantSplit/>
        </w:trPr>
        <w:tc>
          <w:tcPr>
            <w:tcW w:w="2023" w:type="pct"/>
            <w:hideMark/>
          </w:tcPr>
          <w:p w14:paraId="46BE5424" w14:textId="690CFF89" w:rsidR="00322661" w:rsidRDefault="00322661" w:rsidP="00BC190D">
            <w:pPr>
              <w:pStyle w:val="TitlePagetext"/>
            </w:pPr>
            <w:r>
              <w:t xml:space="preserve">For </w:t>
            </w:r>
            <w:bookmarkStart w:id="19" w:name="FORres"/>
            <w:bookmarkEnd w:id="19"/>
            <w:r w:rsidR="003E1298">
              <w:t>Monash City Council</w:t>
            </w:r>
            <w:r>
              <w:t xml:space="preserve"> </w:t>
            </w:r>
          </w:p>
        </w:tc>
        <w:tc>
          <w:tcPr>
            <w:tcW w:w="2977" w:type="pct"/>
          </w:tcPr>
          <w:p w14:paraId="0EAEC4F2" w14:textId="2FAEE8E0" w:rsidR="00322661" w:rsidRDefault="003E1298" w:rsidP="00BC190D">
            <w:pPr>
              <w:pStyle w:val="TitlePagetext"/>
            </w:pPr>
            <w:bookmarkStart w:id="20" w:name="APPres"/>
            <w:bookmarkEnd w:id="20"/>
            <w:r>
              <w:t xml:space="preserve">Ms Adrianne Kellock, town planner of </w:t>
            </w:r>
            <w:r w:rsidR="00985B49">
              <w:t>Kellock Town Planning Pty Ltd.</w:t>
            </w:r>
          </w:p>
        </w:tc>
      </w:tr>
    </w:tbl>
    <w:p w14:paraId="572F48A6" w14:textId="77777777" w:rsidR="00322661" w:rsidRDefault="00322661" w:rsidP="00322661"/>
    <w:p w14:paraId="68A16E47" w14:textId="77777777" w:rsidR="004D2A40" w:rsidRDefault="004D2A40" w:rsidP="00322661">
      <w:pPr>
        <w:pStyle w:val="Heading1"/>
      </w:pPr>
    </w:p>
    <w:p w14:paraId="5676C0AE" w14:textId="07266FF3" w:rsidR="00322661" w:rsidRDefault="00322661" w:rsidP="00322661">
      <w:pPr>
        <w:pStyle w:val="Heading1"/>
        <w:rPr>
          <w:highlight w:val="yellow"/>
        </w:rPr>
      </w:pPr>
      <w:r>
        <w:t>Information</w:t>
      </w:r>
    </w:p>
    <w:tbl>
      <w:tblPr>
        <w:tblW w:w="5000" w:type="pct"/>
        <w:tblLook w:val="0000" w:firstRow="0" w:lastRow="0" w:firstColumn="0" w:lastColumn="0" w:noHBand="0" w:noVBand="0"/>
      </w:tblPr>
      <w:tblGrid>
        <w:gridCol w:w="3273"/>
        <w:gridCol w:w="5232"/>
      </w:tblGrid>
      <w:tr w:rsidR="00322661" w14:paraId="20FDC2C8" w14:textId="77777777" w:rsidTr="00BC190D">
        <w:trPr>
          <w:cantSplit/>
        </w:trPr>
        <w:tc>
          <w:tcPr>
            <w:tcW w:w="1924" w:type="pct"/>
          </w:tcPr>
          <w:p w14:paraId="24CAA509" w14:textId="77777777" w:rsidR="00322661" w:rsidRDefault="00322661" w:rsidP="00BC190D">
            <w:pPr>
              <w:pStyle w:val="TitlePagetext"/>
            </w:pPr>
            <w:r>
              <w:t>Description of proposal</w:t>
            </w:r>
          </w:p>
        </w:tc>
        <w:tc>
          <w:tcPr>
            <w:tcW w:w="3076" w:type="pct"/>
          </w:tcPr>
          <w:p w14:paraId="0D2A0B3C" w14:textId="77777777" w:rsidR="00322661" w:rsidRPr="00851E10" w:rsidRDefault="004D7451" w:rsidP="00BC190D">
            <w:pPr>
              <w:pStyle w:val="TitlePagetext"/>
            </w:pPr>
            <w:r>
              <w:t>Construction of two dwellings on a lot.  Each dwelling contains nine bedrooms and amenities that depict a capacity to be used for shared living.</w:t>
            </w:r>
          </w:p>
        </w:tc>
      </w:tr>
      <w:tr w:rsidR="00322661" w14:paraId="6D2BBF0C" w14:textId="77777777" w:rsidTr="00BC190D">
        <w:trPr>
          <w:cantSplit/>
        </w:trPr>
        <w:tc>
          <w:tcPr>
            <w:tcW w:w="1924" w:type="pct"/>
          </w:tcPr>
          <w:p w14:paraId="42263F29" w14:textId="77777777" w:rsidR="00322661" w:rsidRDefault="00322661" w:rsidP="00BC190D">
            <w:pPr>
              <w:pStyle w:val="TitlePagetext"/>
            </w:pPr>
            <w:r>
              <w:t>Nature of proceeding</w:t>
            </w:r>
          </w:p>
        </w:tc>
        <w:tc>
          <w:tcPr>
            <w:tcW w:w="3076" w:type="pct"/>
          </w:tcPr>
          <w:p w14:paraId="5051CCD4" w14:textId="1DEF2166" w:rsidR="00322661" w:rsidRPr="004D7451" w:rsidRDefault="00322661" w:rsidP="004D7451">
            <w:pPr>
              <w:pStyle w:val="TitlePagetext"/>
            </w:pPr>
            <w:r>
              <w:t xml:space="preserve">Application under section 80 of the </w:t>
            </w:r>
            <w:r>
              <w:rPr>
                <w:i/>
              </w:rPr>
              <w:t>Planning and Environment Act 1987</w:t>
            </w:r>
            <w:r>
              <w:t xml:space="preserve"> – to review the conditions contained in the permit.</w:t>
            </w:r>
            <w:r w:rsidR="00F54B26">
              <w:t xml:space="preserve">  Specifically conditions 1a) to 1c) that require increased upper level setbacks and conditions 1d) to 1f) that require internal alteration to the ground floor living </w:t>
            </w:r>
            <w:r w:rsidR="00DB0029">
              <w:t xml:space="preserve">and laundry </w:t>
            </w:r>
            <w:r w:rsidR="00F54B26">
              <w:t>areas.</w:t>
            </w:r>
          </w:p>
        </w:tc>
      </w:tr>
      <w:tr w:rsidR="00322661" w14:paraId="213B44FA" w14:textId="77777777" w:rsidTr="00BC190D">
        <w:trPr>
          <w:cantSplit/>
        </w:trPr>
        <w:tc>
          <w:tcPr>
            <w:tcW w:w="1924" w:type="pct"/>
          </w:tcPr>
          <w:p w14:paraId="424D2DFD" w14:textId="77777777" w:rsidR="00322661" w:rsidRPr="005C699E" w:rsidRDefault="00322661" w:rsidP="00BC190D">
            <w:pPr>
              <w:pStyle w:val="TitlePagetext"/>
            </w:pPr>
            <w:r>
              <w:t>Planning scheme</w:t>
            </w:r>
          </w:p>
        </w:tc>
        <w:tc>
          <w:tcPr>
            <w:tcW w:w="3076" w:type="pct"/>
          </w:tcPr>
          <w:p w14:paraId="25EA1BDA" w14:textId="77777777" w:rsidR="00322661" w:rsidRPr="00851E10" w:rsidRDefault="004D7451" w:rsidP="00BC190D">
            <w:pPr>
              <w:pStyle w:val="TitlePagetext"/>
            </w:pPr>
            <w:r>
              <w:t>Monash Planning Scheme</w:t>
            </w:r>
          </w:p>
        </w:tc>
      </w:tr>
      <w:tr w:rsidR="00322661" w14:paraId="49EA6FE1" w14:textId="77777777" w:rsidTr="00BC190D">
        <w:trPr>
          <w:cantSplit/>
        </w:trPr>
        <w:tc>
          <w:tcPr>
            <w:tcW w:w="1924" w:type="pct"/>
          </w:tcPr>
          <w:p w14:paraId="79D1E8EF" w14:textId="77777777" w:rsidR="00322661" w:rsidRDefault="00322661" w:rsidP="00BC190D">
            <w:pPr>
              <w:pStyle w:val="TitlePagetext"/>
            </w:pPr>
            <w:r w:rsidRPr="005C699E">
              <w:t xml:space="preserve">Zone and </w:t>
            </w:r>
            <w:r>
              <w:t>o</w:t>
            </w:r>
            <w:r w:rsidRPr="005C699E">
              <w:t>verlays</w:t>
            </w:r>
          </w:p>
        </w:tc>
        <w:tc>
          <w:tcPr>
            <w:tcW w:w="3076" w:type="pct"/>
          </w:tcPr>
          <w:p w14:paraId="04E208EC" w14:textId="77777777" w:rsidR="00322661" w:rsidRDefault="004D7451" w:rsidP="00BC190D">
            <w:pPr>
              <w:pStyle w:val="TitlePagetext"/>
            </w:pPr>
            <w:r>
              <w:t xml:space="preserve">General Residential Zone – Schedule 2 (GRZ2) </w:t>
            </w:r>
          </w:p>
          <w:p w14:paraId="6E7CEF04" w14:textId="77777777" w:rsidR="004D7451" w:rsidRPr="00851E10" w:rsidRDefault="004D7451" w:rsidP="00BC190D">
            <w:pPr>
              <w:pStyle w:val="TitlePagetext"/>
            </w:pPr>
            <w:r>
              <w:t>No overlays</w:t>
            </w:r>
            <w:r w:rsidR="001E68EB">
              <w:t>.  The land abuts a road in a road zone category 1 (RDZ1)</w:t>
            </w:r>
          </w:p>
        </w:tc>
      </w:tr>
      <w:tr w:rsidR="00322661" w14:paraId="170B6921" w14:textId="77777777" w:rsidTr="00BC190D">
        <w:trPr>
          <w:cantSplit/>
        </w:trPr>
        <w:tc>
          <w:tcPr>
            <w:tcW w:w="1924" w:type="pct"/>
          </w:tcPr>
          <w:p w14:paraId="41D2D54B" w14:textId="77777777" w:rsidR="00322661" w:rsidRPr="005C699E" w:rsidRDefault="00322661" w:rsidP="00BC190D">
            <w:pPr>
              <w:pStyle w:val="TitlePagetext"/>
            </w:pPr>
            <w:r>
              <w:t>Permit requirements</w:t>
            </w:r>
          </w:p>
        </w:tc>
        <w:tc>
          <w:tcPr>
            <w:tcW w:w="3076" w:type="pct"/>
          </w:tcPr>
          <w:p w14:paraId="504D6DD2" w14:textId="77777777" w:rsidR="00322661" w:rsidRDefault="004D7451" w:rsidP="00BC190D">
            <w:pPr>
              <w:pStyle w:val="TitlePagetext"/>
            </w:pPr>
            <w:r>
              <w:t>Clause 32.08 – construction of two or more dwellings on a lot in GRZ2.</w:t>
            </w:r>
          </w:p>
          <w:p w14:paraId="457AE762" w14:textId="1F877763" w:rsidR="004D7451" w:rsidRPr="00851E10" w:rsidRDefault="004D7451" w:rsidP="00BC190D">
            <w:pPr>
              <w:pStyle w:val="TitlePagetext"/>
            </w:pPr>
            <w:r>
              <w:t xml:space="preserve">Clause 52.29 – alteration of access to a </w:t>
            </w:r>
            <w:r w:rsidR="00DB0029">
              <w:t>R</w:t>
            </w:r>
            <w:r>
              <w:t xml:space="preserve">oad </w:t>
            </w:r>
            <w:r w:rsidR="00DB0029">
              <w:t>Z</w:t>
            </w:r>
            <w:r w:rsidR="001E68EB">
              <w:t xml:space="preserve">one </w:t>
            </w:r>
            <w:r w:rsidR="00DB0029">
              <w:t>C</w:t>
            </w:r>
            <w:r w:rsidR="001E68EB">
              <w:t>ategory 1.</w:t>
            </w:r>
          </w:p>
        </w:tc>
      </w:tr>
    </w:tbl>
    <w:p w14:paraId="189E73C5" w14:textId="77777777" w:rsidR="004D2A40" w:rsidRDefault="004D2A40"/>
    <w:tbl>
      <w:tblPr>
        <w:tblW w:w="5000" w:type="pct"/>
        <w:tblLook w:val="0000" w:firstRow="0" w:lastRow="0" w:firstColumn="0" w:lastColumn="0" w:noHBand="0" w:noVBand="0"/>
      </w:tblPr>
      <w:tblGrid>
        <w:gridCol w:w="3273"/>
        <w:gridCol w:w="5232"/>
      </w:tblGrid>
      <w:tr w:rsidR="00322661" w14:paraId="0F7E7B31" w14:textId="77777777" w:rsidTr="00BC190D">
        <w:trPr>
          <w:cantSplit/>
        </w:trPr>
        <w:tc>
          <w:tcPr>
            <w:tcW w:w="1924" w:type="pct"/>
          </w:tcPr>
          <w:p w14:paraId="2BCCD841" w14:textId="68ECC235" w:rsidR="00322661" w:rsidRDefault="008C6667" w:rsidP="00BC190D">
            <w:pPr>
              <w:pStyle w:val="TitlePagetext"/>
            </w:pPr>
            <w:r>
              <w:rPr>
                <w:noProof/>
                <w:lang w:eastAsia="en-AU"/>
              </w:rPr>
              <w:lastRenderedPageBreak/>
              <w:drawing>
                <wp:anchor distT="0" distB="0" distL="114300" distR="114300" simplePos="0" relativeHeight="251660288" behindDoc="1" locked="0" layoutInCell="1" allowOverlap="1" wp14:anchorId="5DE35C05" wp14:editId="5FC14753">
                  <wp:simplePos x="0" y="0"/>
                  <wp:positionH relativeFrom="column">
                    <wp:posOffset>5183505</wp:posOffset>
                  </wp:positionH>
                  <wp:positionV relativeFrom="paragraph">
                    <wp:posOffset>8459470</wp:posOffset>
                  </wp:positionV>
                  <wp:extent cx="1080000" cy="1080000"/>
                  <wp:effectExtent l="0" t="0" r="6350" b="6350"/>
                  <wp:wrapNone/>
                  <wp:docPr id="15" name="VCAT Seal3"/>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22661">
              <w:t>Relevant scheme policies and provisions</w:t>
            </w:r>
          </w:p>
        </w:tc>
        <w:tc>
          <w:tcPr>
            <w:tcW w:w="3076" w:type="pct"/>
          </w:tcPr>
          <w:p w14:paraId="6C90F11B" w14:textId="0997024C" w:rsidR="00322661" w:rsidRPr="00851E10" w:rsidRDefault="001E68EB" w:rsidP="00BC190D">
            <w:pPr>
              <w:pStyle w:val="TitlePagetext"/>
            </w:pPr>
            <w:r>
              <w:t xml:space="preserve">Clauses 11, 15.01, 16, 21.04, 21.08, 22.01, 22.05, </w:t>
            </w:r>
            <w:r w:rsidR="00DB0029">
              <w:t xml:space="preserve">22.10,  </w:t>
            </w:r>
            <w:r>
              <w:t>32.08, 52.29, 55 and 65.</w:t>
            </w:r>
          </w:p>
        </w:tc>
      </w:tr>
      <w:tr w:rsidR="00322661" w14:paraId="1A4B49DA" w14:textId="77777777" w:rsidTr="00BC190D">
        <w:trPr>
          <w:cantSplit/>
        </w:trPr>
        <w:tc>
          <w:tcPr>
            <w:tcW w:w="1924" w:type="pct"/>
          </w:tcPr>
          <w:p w14:paraId="0248CD50" w14:textId="77777777" w:rsidR="00322661" w:rsidRDefault="00322661" w:rsidP="00BC190D">
            <w:pPr>
              <w:pStyle w:val="TitlePagetext"/>
            </w:pPr>
            <w:r>
              <w:t>Land description</w:t>
            </w:r>
          </w:p>
        </w:tc>
        <w:tc>
          <w:tcPr>
            <w:tcW w:w="3076" w:type="pct"/>
          </w:tcPr>
          <w:p w14:paraId="3DF9269E" w14:textId="4C5521E3" w:rsidR="00322661" w:rsidRPr="00851E10" w:rsidRDefault="001E68EB" w:rsidP="00BC190D">
            <w:pPr>
              <w:pStyle w:val="TitlePagetext"/>
            </w:pPr>
            <w:r>
              <w:t>The site has a 17.68 metre frontage to the east side of Clayton Road and a depth of 41 metres to create a 725 sqm site.  There is a single storey dwelling currently on the site.  To the direct south are a set of five, double storey dwellings across a double lot.</w:t>
            </w:r>
            <w:r w:rsidR="00DB0029">
              <w:t xml:space="preserve">  To the north is a current application for two and three storey townhouses.</w:t>
            </w:r>
          </w:p>
        </w:tc>
      </w:tr>
    </w:tbl>
    <w:p w14:paraId="555D017E" w14:textId="77777777" w:rsidR="00322661" w:rsidRDefault="00322661" w:rsidP="00322661">
      <w:pPr>
        <w:pStyle w:val="Order1"/>
      </w:pPr>
    </w:p>
    <w:p w14:paraId="6C0F1BAF" w14:textId="105823F0" w:rsidR="00322661" w:rsidRDefault="00322661" w:rsidP="00322661">
      <w:pPr>
        <w:pStyle w:val="Heading1"/>
      </w:pPr>
      <w:r>
        <w:br w:type="page"/>
      </w:r>
      <w:r w:rsidR="008C6667">
        <w:rPr>
          <w:noProof/>
          <w:lang w:eastAsia="en-AU"/>
        </w:rPr>
        <w:lastRenderedPageBreak/>
        <w:drawing>
          <wp:anchor distT="0" distB="0" distL="114300" distR="114300" simplePos="0" relativeHeight="251661312" behindDoc="1" locked="0" layoutInCell="1" allowOverlap="1" wp14:anchorId="2067578D" wp14:editId="2272A88A">
            <wp:simplePos x="0" y="0"/>
            <wp:positionH relativeFrom="column">
              <wp:posOffset>5183505</wp:posOffset>
            </wp:positionH>
            <wp:positionV relativeFrom="paragraph">
              <wp:posOffset>8459470</wp:posOffset>
            </wp:positionV>
            <wp:extent cx="1080000" cy="1080000"/>
            <wp:effectExtent l="0" t="0" r="6350" b="6350"/>
            <wp:wrapNone/>
            <wp:docPr id="16" name="VCAT Seal4"/>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6A5616D9" w14:textId="77777777" w:rsidR="00B95BF7" w:rsidRDefault="00B95BF7" w:rsidP="00710A48">
      <w:pPr>
        <w:pStyle w:val="Heading2"/>
      </w:pPr>
      <w:r>
        <w:t>What is this proceeding about?</w:t>
      </w:r>
    </w:p>
    <w:p w14:paraId="7FC8D2EF" w14:textId="0C48FF7C" w:rsidR="002D7446" w:rsidRDefault="00F54B26" w:rsidP="00B95BF7">
      <w:pPr>
        <w:pStyle w:val="Para1"/>
        <w:numPr>
          <w:ilvl w:val="0"/>
          <w:numId w:val="14"/>
        </w:numPr>
      </w:pPr>
      <w:r>
        <w:t xml:space="preserve">Monash City Council has granted a planning permit to construct two dwellings on a lot at 121 Clayton Road, Oakleigh East.  The dwellings are large, each containing nine bedrooms.  </w:t>
      </w:r>
      <w:r w:rsidR="007B0BEE">
        <w:t>The council has imposed a number of conditions that require alterations to the application plans.  These changes are to reduce the upper level footprint of the dwellings</w:t>
      </w:r>
      <w:r w:rsidR="00F37F7A">
        <w:t>,</w:t>
      </w:r>
      <w:r w:rsidR="007B0BEE">
        <w:t xml:space="preserve"> </w:t>
      </w:r>
      <w:r w:rsidR="00F37F7A">
        <w:t>particularly</w:t>
      </w:r>
      <w:r w:rsidR="007B0BEE">
        <w:t xml:space="preserve"> the front </w:t>
      </w:r>
      <w:r w:rsidR="00030901">
        <w:t>dwelling</w:t>
      </w:r>
      <w:r w:rsidR="002D7446">
        <w:t xml:space="preserve">, </w:t>
      </w:r>
      <w:r w:rsidR="00030901">
        <w:t>and</w:t>
      </w:r>
      <w:r w:rsidR="002D7446">
        <w:t xml:space="preserve"> </w:t>
      </w:r>
      <w:r w:rsidR="00A67546">
        <w:t xml:space="preserve">enacted through </w:t>
      </w:r>
      <w:r w:rsidR="00A51320">
        <w:t>conditions 1a) to 1c)</w:t>
      </w:r>
      <w:r w:rsidR="007B0BEE">
        <w:t xml:space="preserve">.  The council also </w:t>
      </w:r>
      <w:r w:rsidR="000729D0">
        <w:t>seeks changes to the internal layout of both dwellings to increase their living spaces, proportionally to the number of bedrooms provided</w:t>
      </w:r>
      <w:r w:rsidR="002D7446">
        <w:t xml:space="preserve"> through conditions 1d</w:t>
      </w:r>
      <w:r w:rsidR="00A67546">
        <w:t>)</w:t>
      </w:r>
      <w:r w:rsidR="002D7446">
        <w:t xml:space="preserve"> to 1f).  </w:t>
      </w:r>
    </w:p>
    <w:p w14:paraId="242C28D7" w14:textId="71A2BC8F" w:rsidR="002D7446" w:rsidRDefault="002D7446" w:rsidP="00B95BF7">
      <w:pPr>
        <w:pStyle w:val="Para1"/>
        <w:numPr>
          <w:ilvl w:val="0"/>
          <w:numId w:val="14"/>
        </w:numPr>
      </w:pPr>
      <w:r>
        <w:t>The applicant opposes these conditions 1a) through to 1f)</w:t>
      </w:r>
      <w:r w:rsidR="00A67546">
        <w:t xml:space="preserve"> saying the character of the area does not require the upper level setbacks and that the internal </w:t>
      </w:r>
      <w:r w:rsidR="00030901">
        <w:t>room configuration</w:t>
      </w:r>
      <w:r w:rsidR="00A67546">
        <w:t xml:space="preserve"> is acceptable</w:t>
      </w:r>
      <w:r>
        <w:t>.</w:t>
      </w:r>
    </w:p>
    <w:p w14:paraId="7D7D9106" w14:textId="3BC9D146" w:rsidR="009819CB" w:rsidRDefault="009819CB" w:rsidP="009819CB">
      <w:pPr>
        <w:pStyle w:val="Para1"/>
      </w:pPr>
      <w:r>
        <w:t xml:space="preserve">My reasons below discuss these issues in context of the </w:t>
      </w:r>
      <w:r w:rsidR="00A67546">
        <w:t>Monash</w:t>
      </w:r>
      <w:r>
        <w:t xml:space="preserve"> Planning Scheme through which I must make my assessment.</w:t>
      </w:r>
    </w:p>
    <w:p w14:paraId="3AA5ABA1" w14:textId="64F0E318" w:rsidR="00A67546" w:rsidRDefault="00A67546" w:rsidP="00710A48">
      <w:pPr>
        <w:pStyle w:val="Heading2"/>
      </w:pPr>
      <w:r>
        <w:t>Are additional upper level building setacks needed?</w:t>
      </w:r>
    </w:p>
    <w:p w14:paraId="0844F46D" w14:textId="070C7119" w:rsidR="00A67546" w:rsidRDefault="00A67546" w:rsidP="00A67546">
      <w:pPr>
        <w:pStyle w:val="Para1"/>
      </w:pPr>
      <w:r>
        <w:t xml:space="preserve">The three conditions contested </w:t>
      </w:r>
      <w:r w:rsidR="000441FE">
        <w:t>require:</w:t>
      </w:r>
    </w:p>
    <w:p w14:paraId="035B6EDA" w14:textId="79758DE7" w:rsidR="000441FE" w:rsidRDefault="000441FE" w:rsidP="00453FD9">
      <w:pPr>
        <w:pStyle w:val="Para5"/>
      </w:pPr>
      <w:r>
        <w:t>Dwellings 1 and 2 to be set back at least 7 metres from each other at first floor.</w:t>
      </w:r>
      <w:r w:rsidR="00453FD9">
        <w:t xml:space="preserve"> (condition 1a)</w:t>
      </w:r>
    </w:p>
    <w:p w14:paraId="6A07AF7B" w14:textId="70C7C879" w:rsidR="00EA2B75" w:rsidRDefault="00EA2B75" w:rsidP="00453FD9">
      <w:pPr>
        <w:pStyle w:val="Para5"/>
      </w:pPr>
      <w:r>
        <w:t xml:space="preserve">The eastern wall of </w:t>
      </w:r>
      <w:r w:rsidR="00453FD9">
        <w:t xml:space="preserve">bedroom 7 in dwelling 1 set back at least 10.5 metres from the eastern </w:t>
      </w:r>
      <w:r w:rsidR="003B6D9B">
        <w:t xml:space="preserve">(front) </w:t>
      </w:r>
      <w:r w:rsidR="00453FD9">
        <w:t>boundary. (condition 1b)</w:t>
      </w:r>
    </w:p>
    <w:p w14:paraId="5DF081A8" w14:textId="64E64136" w:rsidR="000441FE" w:rsidRDefault="00BC42EA" w:rsidP="00453FD9">
      <w:pPr>
        <w:pStyle w:val="Para5"/>
      </w:pPr>
      <w:r>
        <w:t>The western wall of bedroom 8 in dwelling 1 set back at least 11 metres from the eastern (</w:t>
      </w:r>
      <w:r w:rsidR="00EA2B75">
        <w:t>front)</w:t>
      </w:r>
      <w:r>
        <w:t xml:space="preserve"> boundary</w:t>
      </w:r>
      <w:r w:rsidR="00EA2B75">
        <w:t xml:space="preserve">. </w:t>
      </w:r>
      <w:r w:rsidR="00453FD9">
        <w:t>(condition 1c)</w:t>
      </w:r>
    </w:p>
    <w:p w14:paraId="018D46E1" w14:textId="77777777" w:rsidR="00030901" w:rsidRDefault="00030901" w:rsidP="00A67546">
      <w:pPr>
        <w:pStyle w:val="Para1"/>
      </w:pPr>
      <w:r>
        <w:t>Figure 1 below depicts the changes sought.</w:t>
      </w:r>
    </w:p>
    <w:p w14:paraId="0489B264" w14:textId="7963B7C0" w:rsidR="00EA2B75" w:rsidRDefault="00EA2B75" w:rsidP="00A67546">
      <w:pPr>
        <w:pStyle w:val="Para1"/>
      </w:pPr>
      <w:r>
        <w:t xml:space="preserve">The </w:t>
      </w:r>
      <w:r w:rsidR="00A53306">
        <w:t xml:space="preserve">council maintains that these conditions are needed to moderate the upper level form from the street and the adjoining neighbour to the south, mostly as an issue of neighbourhood character and visual bulk.  </w:t>
      </w:r>
    </w:p>
    <w:p w14:paraId="7776C946" w14:textId="1467E60A" w:rsidR="00581290" w:rsidRDefault="002161F8" w:rsidP="000F2EEB">
      <w:pPr>
        <w:pStyle w:val="Para1"/>
      </w:pPr>
      <w:r>
        <w:t>The character of this are</w:t>
      </w:r>
      <w:r w:rsidR="00E03952">
        <w:t>a</w:t>
      </w:r>
      <w:r>
        <w:t xml:space="preserve"> is changing and dominated by large dwellings and modern townhouses.  </w:t>
      </w:r>
      <w:r w:rsidR="00BB3330">
        <w:t xml:space="preserve">The existing character guidelines for this area are of little assistance given this change.  </w:t>
      </w:r>
      <w:r w:rsidR="00E03952">
        <w:t xml:space="preserve">It is also relevant that the site sits close to Monash University and within the </w:t>
      </w:r>
      <w:r w:rsidR="00D47218">
        <w:t>Monash Innovation and Employment Cluster</w:t>
      </w:r>
      <w:r w:rsidR="00BA3B99">
        <w:t xml:space="preserve">, a factor that is also recognised in </w:t>
      </w:r>
      <w:r w:rsidR="00F569C6">
        <w:t>the adopted Monash Housing Strategy</w:t>
      </w:r>
      <w:r w:rsidR="00581290">
        <w:t>, 2014.  I therefore find a</w:t>
      </w:r>
      <w:r w:rsidR="0023754C">
        <w:t xml:space="preserve"> first principles approach</w:t>
      </w:r>
      <w:r w:rsidR="00D26D99">
        <w:t xml:space="preserve"> that considers the immediate physical context is needed to </w:t>
      </w:r>
      <w:r w:rsidR="00581290">
        <w:t xml:space="preserve">assessing </w:t>
      </w:r>
      <w:r w:rsidR="0023754C">
        <w:t xml:space="preserve">the site context </w:t>
      </w:r>
      <w:r w:rsidR="00D26D99">
        <w:t>and impact on neighbourhood character</w:t>
      </w:r>
      <w:r w:rsidR="0023754C">
        <w:t xml:space="preserve">.  </w:t>
      </w:r>
    </w:p>
    <w:p w14:paraId="231B51C9" w14:textId="75EEC960" w:rsidR="002161F8" w:rsidRDefault="008C6667" w:rsidP="00A67546">
      <w:pPr>
        <w:pStyle w:val="Para1"/>
      </w:pPr>
      <w:r>
        <w:rPr>
          <w:noProof/>
          <w:lang w:eastAsia="en-AU"/>
        </w:rPr>
        <w:lastRenderedPageBreak/>
        <w:drawing>
          <wp:anchor distT="0" distB="0" distL="114300" distR="114300" simplePos="0" relativeHeight="251662336" behindDoc="1" locked="0" layoutInCell="1" allowOverlap="1" wp14:anchorId="64B0508C" wp14:editId="60A5C485">
            <wp:simplePos x="0" y="0"/>
            <wp:positionH relativeFrom="column">
              <wp:posOffset>5183505</wp:posOffset>
            </wp:positionH>
            <wp:positionV relativeFrom="paragraph">
              <wp:posOffset>8459470</wp:posOffset>
            </wp:positionV>
            <wp:extent cx="1080000" cy="1080000"/>
            <wp:effectExtent l="0" t="0" r="6350" b="6350"/>
            <wp:wrapNone/>
            <wp:docPr id="17" name="VCAT Seal5"/>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3754C">
        <w:t xml:space="preserve">This </w:t>
      </w:r>
      <w:r w:rsidR="00D26D99">
        <w:t xml:space="preserve">existing physical context </w:t>
      </w:r>
      <w:r w:rsidR="0023754C">
        <w:t xml:space="preserve">includes </w:t>
      </w:r>
      <w:r w:rsidR="00D26D99">
        <w:t>a</w:t>
      </w:r>
      <w:r w:rsidR="0023754C">
        <w:t xml:space="preserve"> number of robust buildings along Clayton Road.  </w:t>
      </w:r>
      <w:r w:rsidR="00D26D99">
        <w:t xml:space="preserve">There </w:t>
      </w:r>
      <w:r w:rsidR="006B69C7">
        <w:t xml:space="preserve">are </w:t>
      </w:r>
      <w:r w:rsidR="00D26D99">
        <w:t xml:space="preserve">also many double storey townhouses both on Clayton Road and behind, to the west of the review site.  </w:t>
      </w:r>
      <w:r w:rsidR="002161F8">
        <w:t xml:space="preserve">The development directly to the south includes a </w:t>
      </w:r>
      <w:r w:rsidR="00BB3330">
        <w:t>multi</w:t>
      </w:r>
      <w:r w:rsidR="00CA7C26">
        <w:t>-</w:t>
      </w:r>
      <w:r w:rsidR="00BB3330">
        <w:t xml:space="preserve">dwelling, double storey townhouse development.  </w:t>
      </w:r>
      <w:r w:rsidR="00230F60">
        <w:t xml:space="preserve">Given this context </w:t>
      </w:r>
      <w:r w:rsidR="00BB3330">
        <w:t xml:space="preserve">I find nothing in </w:t>
      </w:r>
      <w:r w:rsidR="00B70446">
        <w:t xml:space="preserve">that warrants </w:t>
      </w:r>
      <w:r w:rsidR="00CA7C26">
        <w:t xml:space="preserve">the </w:t>
      </w:r>
      <w:r w:rsidR="00B70446">
        <w:t>additional setbacks to the street or between the two dwellings.  As a question of character I find conditions 1a), 1b) and 1c) unnecessary and not justifiable.</w:t>
      </w:r>
    </w:p>
    <w:p w14:paraId="52310268" w14:textId="77777777" w:rsidR="00A53306" w:rsidRDefault="00A53306" w:rsidP="00A53306">
      <w:pPr>
        <w:pStyle w:val="Para2"/>
        <w:keepNext/>
        <w:jc w:val="center"/>
      </w:pPr>
      <w:r w:rsidRPr="001C2974">
        <w:rPr>
          <w:noProof/>
          <w:lang w:eastAsia="en-AU"/>
        </w:rPr>
        <w:drawing>
          <wp:inline distT="0" distB="0" distL="0" distR="0" wp14:anchorId="4205B12A" wp14:editId="6F6A75EA">
            <wp:extent cx="4694887"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6858" cy="2877758"/>
                    </a:xfrm>
                    <a:prstGeom prst="rect">
                      <a:avLst/>
                    </a:prstGeom>
                  </pic:spPr>
                </pic:pic>
              </a:graphicData>
            </a:graphic>
          </wp:inline>
        </w:drawing>
      </w:r>
    </w:p>
    <w:p w14:paraId="3C1BC56F" w14:textId="77AD54E8" w:rsidR="00A53306" w:rsidRPr="00A67546" w:rsidRDefault="00A53306" w:rsidP="00A53306">
      <w:pPr>
        <w:pStyle w:val="Caption"/>
        <w:jc w:val="center"/>
      </w:pPr>
      <w:r>
        <w:t xml:space="preserve">Figure </w:t>
      </w:r>
      <w:fldSimple w:instr=" SEQ Figure \* ARABIC ">
        <w:r w:rsidR="00F2249D">
          <w:rPr>
            <w:noProof/>
          </w:rPr>
          <w:t>1</w:t>
        </w:r>
      </w:fldSimple>
      <w:r>
        <w:t xml:space="preserve"> - upper level </w:t>
      </w:r>
      <w:r w:rsidR="00644579">
        <w:t>footprint</w:t>
      </w:r>
      <w:r>
        <w:t xml:space="preserve"> of plans with hand notation of changes sought.</w:t>
      </w:r>
    </w:p>
    <w:p w14:paraId="0B017BAE" w14:textId="25A58A76" w:rsidR="00B70446" w:rsidRDefault="00721791" w:rsidP="00B70446">
      <w:pPr>
        <w:pStyle w:val="Para1"/>
      </w:pPr>
      <w:r>
        <w:t>The council also submits that c</w:t>
      </w:r>
      <w:r w:rsidR="00B70446">
        <w:t xml:space="preserve">onditions 1a) and 1c) link to </w:t>
      </w:r>
      <w:r>
        <w:t>maintaining reasonable</w:t>
      </w:r>
      <w:r w:rsidR="00B70446">
        <w:t xml:space="preserve"> amenity to the adjoining dwelling directly south</w:t>
      </w:r>
      <w:r>
        <w:t>.  The</w:t>
      </w:r>
      <w:r w:rsidR="00B70446">
        <w:t xml:space="preserve"> council </w:t>
      </w:r>
      <w:r>
        <w:t>submits</w:t>
      </w:r>
      <w:r w:rsidR="00B70446">
        <w:t xml:space="preserve"> the break between buildings imposed through condition 1</w:t>
      </w:r>
      <w:r w:rsidR="00CA7C26">
        <w:t>a)</w:t>
      </w:r>
      <w:r w:rsidR="00B70446">
        <w:t xml:space="preserve"> will reduce visual bulk to the secluded private open space area to the south and condition 1c) will </w:t>
      </w:r>
      <w:r w:rsidR="00BC0C04">
        <w:t>avoid additional shadow to the same secluded open space area.</w:t>
      </w:r>
    </w:p>
    <w:p w14:paraId="7032E962" w14:textId="5F102924" w:rsidR="00BC0C04" w:rsidRDefault="00BC0C04" w:rsidP="00B70446">
      <w:pPr>
        <w:pStyle w:val="Para1"/>
      </w:pPr>
      <w:r>
        <w:t>I am satisfied there is no need to amend the development to address visual bulk</w:t>
      </w:r>
      <w:r w:rsidR="00F96EF4">
        <w:t xml:space="preserve"> or shadow</w:t>
      </w:r>
      <w:r>
        <w:t xml:space="preserve">.  The </w:t>
      </w:r>
      <w:r w:rsidR="00404E91">
        <w:t xml:space="preserve">rear section </w:t>
      </w:r>
      <w:r w:rsidR="006B69C7">
        <w:t xml:space="preserve">of </w:t>
      </w:r>
      <w:r w:rsidR="00404E91">
        <w:t xml:space="preserve">the </w:t>
      </w:r>
      <w:r w:rsidR="00F96EF4">
        <w:t xml:space="preserve">front </w:t>
      </w:r>
      <w:r w:rsidR="00404E91">
        <w:t>dwelling</w:t>
      </w:r>
      <w:r w:rsidR="00F96EF4">
        <w:t xml:space="preserve"> (Dwelling 1)</w:t>
      </w:r>
      <w:r w:rsidR="00404E91">
        <w:t xml:space="preserve"> is sufficiently north of the existing dwelling to the south that it will not be excessively imposing.  In concluding this I note that dwelling 2 was considered acceptable to the council even though it is </w:t>
      </w:r>
      <w:r w:rsidR="000B04B4">
        <w:t>generally closer to the secluded open space of an adjoining dwelling to its south.</w:t>
      </w:r>
    </w:p>
    <w:p w14:paraId="70E662AC" w14:textId="790E6CAC" w:rsidR="000B04B4" w:rsidRDefault="000B04B4" w:rsidP="00B70446">
      <w:pPr>
        <w:pStyle w:val="Para1"/>
      </w:pPr>
      <w:r>
        <w:t xml:space="preserve">Condition 1c) will remove any additional shadow to the secluded open space of the dwelling to the south, but the additional shadow that </w:t>
      </w:r>
      <w:r w:rsidR="00B11138">
        <w:t xml:space="preserve">the front </w:t>
      </w:r>
      <w:r>
        <w:t xml:space="preserve">dwelling </w:t>
      </w:r>
      <w:r w:rsidR="00B11138">
        <w:t>casts</w:t>
      </w:r>
      <w:r>
        <w:t xml:space="preserve"> is </w:t>
      </w:r>
      <w:r w:rsidR="00B11138">
        <w:t xml:space="preserve">so </w:t>
      </w:r>
      <w:r>
        <w:t xml:space="preserve">very minor I find </w:t>
      </w:r>
      <w:r w:rsidR="00B11138">
        <w:t xml:space="preserve">it is does not </w:t>
      </w:r>
      <w:r>
        <w:t>warrant alteration</w:t>
      </w:r>
      <w:r w:rsidR="00B11138">
        <w:t xml:space="preserve"> of bedroom </w:t>
      </w:r>
      <w:r w:rsidR="00190DD6">
        <w:t>8</w:t>
      </w:r>
      <w:r>
        <w:t xml:space="preserve">.  </w:t>
      </w:r>
    </w:p>
    <w:p w14:paraId="1EC93E80" w14:textId="5549A7E6" w:rsidR="00B722B4" w:rsidRDefault="000B04B4" w:rsidP="00B722B4">
      <w:pPr>
        <w:pStyle w:val="Para1"/>
      </w:pPr>
      <w:r>
        <w:t xml:space="preserve">The secluded open space of the dwelling directly south of dwelling 1 has a relatively small secluded open space area that is ‘hemmed in’ by its own garage to its west and its dwelling footprint to its east.  </w:t>
      </w:r>
      <w:r w:rsidR="00751CD1">
        <w:t>Currently it does not receive the standard requirement of direct sunlight directed by clause 55.04-</w:t>
      </w:r>
      <w:r w:rsidR="008C6667">
        <w:rPr>
          <w:noProof/>
          <w:lang w:eastAsia="en-AU"/>
        </w:rPr>
        <w:lastRenderedPageBreak/>
        <w:drawing>
          <wp:anchor distT="0" distB="0" distL="114300" distR="114300" simplePos="0" relativeHeight="251663360" behindDoc="1" locked="0" layoutInCell="1" allowOverlap="1" wp14:anchorId="05BB011E" wp14:editId="597CA3EC">
            <wp:simplePos x="0" y="0"/>
            <wp:positionH relativeFrom="column">
              <wp:posOffset>5183505</wp:posOffset>
            </wp:positionH>
            <wp:positionV relativeFrom="paragraph">
              <wp:posOffset>8459470</wp:posOffset>
            </wp:positionV>
            <wp:extent cx="1080000" cy="1080000"/>
            <wp:effectExtent l="0" t="0" r="6350" b="6350"/>
            <wp:wrapNone/>
            <wp:docPr id="18" name="VCAT Seal6"/>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51F74">
        <w:t>5 so t</w:t>
      </w:r>
      <w:r w:rsidR="00E42938">
        <w:t xml:space="preserve">he consideration is whether any additional shadow should be considered acceptable.  In this instance I am satisfied it is, as the additional shadow is for less than one square metre between 9 and 10am in the morning.  </w:t>
      </w:r>
      <w:r w:rsidR="003F5757">
        <w:t>This will have a negligible impact on the usability of the adjoining secluded private open space</w:t>
      </w:r>
      <w:r w:rsidR="00B722B4">
        <w:t xml:space="preserve"> so I am satisfied that the new building does not significantly overshadow the existing secluded private open space next door.</w:t>
      </w:r>
    </w:p>
    <w:p w14:paraId="462A03C2" w14:textId="132DDF11" w:rsidR="00B722B4" w:rsidRDefault="00B722B4" w:rsidP="00B722B4">
      <w:pPr>
        <w:pStyle w:val="Para1"/>
      </w:pPr>
      <w:r>
        <w:t>It therefore follows that I find no amenity or character reason to retain conditions 1a), 1b) or 1c) and will direct they be deleted.</w:t>
      </w:r>
    </w:p>
    <w:p w14:paraId="08675663" w14:textId="61D33C6E" w:rsidR="00A67546" w:rsidRDefault="00A67546" w:rsidP="00710A48">
      <w:pPr>
        <w:pStyle w:val="Heading2"/>
      </w:pPr>
      <w:r>
        <w:t>Is additional ground level living space needed?</w:t>
      </w:r>
    </w:p>
    <w:p w14:paraId="2500B48A" w14:textId="77777777" w:rsidR="00DD2704" w:rsidRDefault="00DD2704" w:rsidP="00B722B4">
      <w:pPr>
        <w:pStyle w:val="Para1"/>
      </w:pPr>
      <w:r>
        <w:t>The contested conditions require:</w:t>
      </w:r>
    </w:p>
    <w:p w14:paraId="586775A9" w14:textId="26CE3788" w:rsidR="0095561B" w:rsidRDefault="0095561B" w:rsidP="00FD3936">
      <w:pPr>
        <w:pStyle w:val="Para5"/>
      </w:pPr>
      <w:r>
        <w:t xml:space="preserve">Bedroom 3 in dwelling 1 changed to a dining/living area to </w:t>
      </w:r>
      <w:r w:rsidR="0024611A">
        <w:t>allow for a more functional space for the kitchen and dining area. (condition 1d)</w:t>
      </w:r>
    </w:p>
    <w:p w14:paraId="593912ED" w14:textId="4C2ED109" w:rsidR="008E47F6" w:rsidRDefault="008E47F6" w:rsidP="00FD3936">
      <w:pPr>
        <w:pStyle w:val="Para5"/>
      </w:pPr>
      <w:r>
        <w:t>The laundry of dwelling 2 to be reconfigured to be located where bedroom 3 is shown to allow for a more functional space for the kitchen and dining area.</w:t>
      </w:r>
      <w:r w:rsidR="0024611A">
        <w:t xml:space="preserve"> (condition 1e)</w:t>
      </w:r>
    </w:p>
    <w:p w14:paraId="7FC23D12" w14:textId="294E3598" w:rsidR="00B722B4" w:rsidRDefault="00A356EE" w:rsidP="00B722B4">
      <w:pPr>
        <w:pStyle w:val="Para1"/>
      </w:pPr>
      <w:r>
        <w:t>The effect of conditions 1</w:t>
      </w:r>
      <w:r w:rsidR="00881145">
        <w:t xml:space="preserve">d) and 1e) is to increase the size of the living, kitchen and dining areas as </w:t>
      </w:r>
      <w:r w:rsidR="00190DD6">
        <w:t>shown</w:t>
      </w:r>
      <w:r w:rsidR="00881145">
        <w:t xml:space="preserve"> in figure 2 below.</w:t>
      </w:r>
      <w:r w:rsidR="007932E4">
        <w:t xml:space="preserve">  Condition 1e) also seeks the laundry to be a separate room </w:t>
      </w:r>
      <w:r w:rsidR="00431C8D">
        <w:t xml:space="preserve">to provide functional space as a laundry.  I discuss </w:t>
      </w:r>
      <w:r w:rsidR="001639B3">
        <w:t>the specific need for a separate laundry</w:t>
      </w:r>
      <w:r w:rsidR="00431C8D">
        <w:t xml:space="preserve"> below at paragraph </w:t>
      </w:r>
      <w:r w:rsidR="001639B3">
        <w:fldChar w:fldCharType="begin"/>
      </w:r>
      <w:r w:rsidR="001639B3">
        <w:instrText xml:space="preserve"> REF _Ref16859406 \r \h </w:instrText>
      </w:r>
      <w:r w:rsidR="001639B3">
        <w:fldChar w:fldCharType="separate"/>
      </w:r>
      <w:r w:rsidR="00F2249D">
        <w:t>29</w:t>
      </w:r>
      <w:r w:rsidR="001639B3">
        <w:fldChar w:fldCharType="end"/>
      </w:r>
      <w:r w:rsidR="001639B3">
        <w:t>.</w:t>
      </w:r>
    </w:p>
    <w:p w14:paraId="78741D9D" w14:textId="77777777" w:rsidR="001639B3" w:rsidRDefault="001639B3" w:rsidP="001639B3">
      <w:pPr>
        <w:pStyle w:val="Para1"/>
        <w:numPr>
          <w:ilvl w:val="0"/>
          <w:numId w:val="0"/>
        </w:numPr>
        <w:ind w:left="567" w:hanging="567"/>
      </w:pPr>
    </w:p>
    <w:p w14:paraId="6FEC6582" w14:textId="77777777" w:rsidR="002C7500" w:rsidRDefault="002C7500" w:rsidP="002C7500">
      <w:pPr>
        <w:pStyle w:val="Para2"/>
        <w:keepNext/>
        <w:jc w:val="center"/>
      </w:pPr>
      <w:r w:rsidRPr="002C7500">
        <w:rPr>
          <w:noProof/>
          <w:lang w:eastAsia="en-AU"/>
        </w:rPr>
        <w:drawing>
          <wp:inline distT="0" distB="0" distL="0" distR="0" wp14:anchorId="02B370D4" wp14:editId="0ABABD42">
            <wp:extent cx="5276850" cy="2878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3"/>
                    <a:stretch/>
                  </pic:blipFill>
                  <pic:spPr bwMode="auto">
                    <a:xfrm>
                      <a:off x="0" y="0"/>
                      <a:ext cx="5276850" cy="2878455"/>
                    </a:xfrm>
                    <a:prstGeom prst="rect">
                      <a:avLst/>
                    </a:prstGeom>
                    <a:ln>
                      <a:noFill/>
                    </a:ln>
                    <a:extLst>
                      <a:ext uri="{53640926-AAD7-44D8-BBD7-CCE9431645EC}">
                        <a14:shadowObscured xmlns:a14="http://schemas.microsoft.com/office/drawing/2010/main"/>
                      </a:ext>
                    </a:extLst>
                  </pic:spPr>
                </pic:pic>
              </a:graphicData>
            </a:graphic>
          </wp:inline>
        </w:drawing>
      </w:r>
    </w:p>
    <w:p w14:paraId="228DDB5B" w14:textId="7C1F8F3C" w:rsidR="001F6FB5" w:rsidRPr="00B722B4" w:rsidRDefault="002C7500" w:rsidP="002C7500">
      <w:pPr>
        <w:pStyle w:val="Caption"/>
        <w:jc w:val="center"/>
      </w:pPr>
      <w:r>
        <w:t xml:space="preserve">Figure </w:t>
      </w:r>
      <w:fldSimple w:instr=" SEQ Figure \* ARABIC ">
        <w:r w:rsidR="00F2249D">
          <w:rPr>
            <w:noProof/>
          </w:rPr>
          <w:t>2</w:t>
        </w:r>
      </w:fldSimple>
      <w:r>
        <w:t xml:space="preserve"> - ground floor of application plans with permit </w:t>
      </w:r>
      <w:r w:rsidR="000D1BCB">
        <w:t xml:space="preserve">condition </w:t>
      </w:r>
      <w:r>
        <w:t>notations</w:t>
      </w:r>
    </w:p>
    <w:p w14:paraId="30D5FC27" w14:textId="08BEA6AC" w:rsidR="00881145" w:rsidRDefault="004E408D" w:rsidP="00881145">
      <w:pPr>
        <w:pStyle w:val="Para1"/>
      </w:pPr>
      <w:r>
        <w:t xml:space="preserve">The applicant submits that the council has </w:t>
      </w:r>
      <w:r w:rsidR="00F06E6E">
        <w:t xml:space="preserve">reached outside its discretion in applying what it considers are arbitrary numerical standards for the size of living spaces that do not exist in the planning scheme.  </w:t>
      </w:r>
      <w:r w:rsidR="008A61C8">
        <w:t>I</w:t>
      </w:r>
      <w:r w:rsidR="00A83EE9">
        <w:t xml:space="preserve">t says the </w:t>
      </w:r>
      <w:r w:rsidR="008C6667">
        <w:rPr>
          <w:noProof/>
          <w:lang w:eastAsia="en-AU"/>
        </w:rPr>
        <w:lastRenderedPageBreak/>
        <w:drawing>
          <wp:anchor distT="0" distB="0" distL="114300" distR="114300" simplePos="0" relativeHeight="251664384" behindDoc="1" locked="0" layoutInCell="1" allowOverlap="1" wp14:anchorId="150CC830" wp14:editId="2014BFF0">
            <wp:simplePos x="0" y="0"/>
            <wp:positionH relativeFrom="column">
              <wp:posOffset>5183505</wp:posOffset>
            </wp:positionH>
            <wp:positionV relativeFrom="paragraph">
              <wp:posOffset>8459470</wp:posOffset>
            </wp:positionV>
            <wp:extent cx="1080000" cy="1080000"/>
            <wp:effectExtent l="0" t="0" r="6350" b="6350"/>
            <wp:wrapNone/>
            <wp:docPr id="19" name="VCAT Seal7"/>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83EE9">
        <w:t>communal spaces are acceptable for the number of potential residents</w:t>
      </w:r>
      <w:r w:rsidR="005751E8">
        <w:t>.  The applicant submits</w:t>
      </w:r>
      <w:r w:rsidR="00A83EE9">
        <w:t>:</w:t>
      </w:r>
    </w:p>
    <w:p w14:paraId="0E6F0227" w14:textId="65B9E0A5" w:rsidR="00A83EE9" w:rsidRDefault="00A83EE9" w:rsidP="008A61C8">
      <w:pPr>
        <w:pStyle w:val="Para5"/>
      </w:pPr>
      <w:r>
        <w:t>Kitchen and living areas are provided.  The kitchen</w:t>
      </w:r>
      <w:r w:rsidR="00D51858">
        <w:t xml:space="preserve"> to dwelling 1</w:t>
      </w:r>
      <w:r>
        <w:t xml:space="preserve"> will comprise two stoves, two sinks</w:t>
      </w:r>
      <w:r w:rsidR="00566364">
        <w:t xml:space="preserve"> and</w:t>
      </w:r>
      <w:r>
        <w:t xml:space="preserve"> </w:t>
      </w:r>
      <w:r w:rsidR="00566364">
        <w:t>two fridges to cater for meal preparation of residents.</w:t>
      </w:r>
      <w:r w:rsidR="00D51858">
        <w:t xml:space="preserve">  The kitchen to dwelling 2 also has two fridges, but only one sink and one stove.  </w:t>
      </w:r>
    </w:p>
    <w:p w14:paraId="6C057410" w14:textId="35C054C4" w:rsidR="00566364" w:rsidRDefault="0021070B" w:rsidP="008A61C8">
      <w:pPr>
        <w:pStyle w:val="Para5"/>
      </w:pPr>
      <w:r>
        <w:t>The communal space of dwelling 1 (excluding the kitchen bench) totals 32.5 sqm</w:t>
      </w:r>
      <w:r w:rsidR="007539DB">
        <w:t xml:space="preserve"> and the communal space of dwelling 2 is 33.9 sqm.</w:t>
      </w:r>
    </w:p>
    <w:p w14:paraId="02654B61" w14:textId="7B3498D1" w:rsidR="0042716E" w:rsidRDefault="0042716E" w:rsidP="008A61C8">
      <w:pPr>
        <w:pStyle w:val="Para5"/>
      </w:pPr>
      <w:r>
        <w:t>It is likely that not all residents will require use of the communal facilities at the same time and may choose to eat meals or undertake activities in individual bedroom</w:t>
      </w:r>
      <w:r w:rsidR="00804CED">
        <w:t>s</w:t>
      </w:r>
      <w:r>
        <w:t xml:space="preserve"> or external to the site.</w:t>
      </w:r>
    </w:p>
    <w:p w14:paraId="1BD97F59" w14:textId="548C1BA5" w:rsidR="00EC0FDA" w:rsidRDefault="008A61C8" w:rsidP="008A61C8">
      <w:pPr>
        <w:pStyle w:val="Para1"/>
      </w:pPr>
      <w:r>
        <w:t xml:space="preserve">The planning scheme does not prescribe minimum room sizes for dwellings, other than for </w:t>
      </w:r>
      <w:r w:rsidR="00D138B1">
        <w:t xml:space="preserve">apartment </w:t>
      </w:r>
      <w:r>
        <w:t>dwellings and addressed throu</w:t>
      </w:r>
      <w:r w:rsidR="000767BC">
        <w:t>gh clause 58</w:t>
      </w:r>
      <w:r w:rsidR="00EC0FDA">
        <w:t xml:space="preserve">.  </w:t>
      </w:r>
      <w:r w:rsidR="0074372B">
        <w:t>The council relies on</w:t>
      </w:r>
      <w:r w:rsidR="00521619">
        <w:t xml:space="preserve"> a decision of the tribunal in </w:t>
      </w:r>
      <w:r w:rsidR="00521619" w:rsidRPr="00521619">
        <w:rPr>
          <w:i/>
        </w:rPr>
        <w:t>Dang v Monash CC</w:t>
      </w:r>
      <w:r w:rsidR="00521619">
        <w:rPr>
          <w:rStyle w:val="FootnoteReference"/>
          <w:i/>
        </w:rPr>
        <w:footnoteReference w:id="3"/>
      </w:r>
      <w:r w:rsidR="00521619">
        <w:t xml:space="preserve"> where the tribunal found a need to increase living room sizes </w:t>
      </w:r>
      <w:r w:rsidR="00D4595C">
        <w:t>for two, seven bedroom dwellings.</w:t>
      </w:r>
      <w:r w:rsidR="006975A7">
        <w:t xml:space="preserve">  The council also provided me with a copy of plans to that decision and acknowledged that in that decision the living areas were smaller than </w:t>
      </w:r>
      <w:r w:rsidR="00574979">
        <w:t>in the</w:t>
      </w:r>
      <w:r w:rsidR="006975A7">
        <w:t xml:space="preserve"> propos</w:t>
      </w:r>
      <w:r w:rsidR="00574979">
        <w:t>al</w:t>
      </w:r>
      <w:r w:rsidR="006975A7">
        <w:t xml:space="preserve"> before me.</w:t>
      </w:r>
    </w:p>
    <w:p w14:paraId="1EF1E35A" w14:textId="1E0D66FB" w:rsidR="004E2884" w:rsidRPr="005674FC" w:rsidRDefault="00F11D6B" w:rsidP="005674FC">
      <w:pPr>
        <w:pStyle w:val="Para1"/>
      </w:pPr>
      <w:r>
        <w:t xml:space="preserve">In </w:t>
      </w:r>
      <w:r w:rsidRPr="00FC6060">
        <w:rPr>
          <w:i/>
        </w:rPr>
        <w:t>Dang</w:t>
      </w:r>
      <w:r w:rsidR="00D138B1">
        <w:rPr>
          <w:i/>
        </w:rPr>
        <w:t>,</w:t>
      </w:r>
      <w:r w:rsidRPr="00FC6060">
        <w:rPr>
          <w:i/>
        </w:rPr>
        <w:t xml:space="preserve"> </w:t>
      </w:r>
      <w:r>
        <w:t xml:space="preserve">the tribunal </w:t>
      </w:r>
      <w:r w:rsidR="00FC6060">
        <w:t>acknowledged</w:t>
      </w:r>
      <w:r>
        <w:t xml:space="preserve"> that </w:t>
      </w:r>
      <w:r w:rsidR="00FC6060">
        <w:t>‘</w:t>
      </w:r>
      <w:r>
        <w:t>the scheme is largely silent on the provision of living spaces within dwellings</w:t>
      </w:r>
      <w:r w:rsidR="00FC6060">
        <w:t>’ with clause</w:t>
      </w:r>
      <w:r>
        <w:t xml:space="preserve"> 15.01 offer</w:t>
      </w:r>
      <w:r w:rsidR="00FC6060">
        <w:t>ing</w:t>
      </w:r>
      <w:r>
        <w:t xml:space="preserve"> </w:t>
      </w:r>
      <w:r w:rsidR="00FC6060">
        <w:t>‘</w:t>
      </w:r>
      <w:r>
        <w:t>indirect guidance in that it encourages the development of places that are safe and that support the social well-being of the community</w:t>
      </w:r>
      <w:r w:rsidR="00EE3E08">
        <w:t>’</w:t>
      </w:r>
      <w:r>
        <w:t xml:space="preserve">. </w:t>
      </w:r>
      <w:r w:rsidR="00EE3E08">
        <w:t>I share the</w:t>
      </w:r>
      <w:r w:rsidR="00622ADF">
        <w:t>se</w:t>
      </w:r>
      <w:r w:rsidR="00EE3E08">
        <w:t xml:space="preserve"> comments </w:t>
      </w:r>
      <w:r w:rsidR="00622ADF">
        <w:t xml:space="preserve">of the tribunal.  Since the </w:t>
      </w:r>
      <w:r w:rsidR="00622ADF">
        <w:rPr>
          <w:i/>
        </w:rPr>
        <w:t xml:space="preserve">Dang </w:t>
      </w:r>
      <w:r w:rsidR="00622ADF">
        <w:t xml:space="preserve">decision, clause 15.01 has been amended but </w:t>
      </w:r>
      <w:r w:rsidR="00210A7F">
        <w:t>has</w:t>
      </w:r>
      <w:r w:rsidR="00622ADF">
        <w:t xml:space="preserve"> strategy</w:t>
      </w:r>
      <w:r w:rsidR="004E2884">
        <w:t xml:space="preserve"> under clause 15.01-1S</w:t>
      </w:r>
      <w:r w:rsidR="003F63F1">
        <w:t xml:space="preserve"> to</w:t>
      </w:r>
      <w:r w:rsidR="00622ADF">
        <w:t xml:space="preserve"> </w:t>
      </w:r>
      <w:r w:rsidR="005674FC">
        <w:t>‘e</w:t>
      </w:r>
      <w:r w:rsidR="004E2884" w:rsidRPr="005674FC">
        <w:t>nsure development contributes to community and cultural life by improving the quality of living</w:t>
      </w:r>
      <w:r w:rsidR="003F63F1" w:rsidRPr="005674FC">
        <w:t xml:space="preserve"> </w:t>
      </w:r>
      <w:r w:rsidR="004E2884" w:rsidRPr="005674FC">
        <w:t>and working environments, facilitating accessibility and providing for inclusiveness</w:t>
      </w:r>
      <w:r w:rsidR="00210A7F">
        <w:t>’</w:t>
      </w:r>
      <w:r w:rsidR="004E2884" w:rsidRPr="005674FC">
        <w:t>.</w:t>
      </w:r>
    </w:p>
    <w:p w14:paraId="1EEE0060" w14:textId="6F0BDC3D" w:rsidR="00F11D6B" w:rsidRDefault="00D138B1" w:rsidP="00F11D6B">
      <w:pPr>
        <w:pStyle w:val="Para1"/>
      </w:pPr>
      <w:r>
        <w:t>I</w:t>
      </w:r>
      <w:r w:rsidR="003F63F1">
        <w:t xml:space="preserve">n </w:t>
      </w:r>
      <w:r w:rsidR="003F63F1">
        <w:rPr>
          <w:i/>
        </w:rPr>
        <w:t xml:space="preserve">Dang </w:t>
      </w:r>
      <w:r>
        <w:t>the tribunal commented that the directions</w:t>
      </w:r>
      <w:r w:rsidR="005674FC">
        <w:t xml:space="preserve"> of clause 15.01</w:t>
      </w:r>
      <w:r w:rsidR="0062686E">
        <w:t xml:space="preserve"> </w:t>
      </w:r>
      <w:r w:rsidR="001E1F7A">
        <w:t>‘</w:t>
      </w:r>
      <w:r w:rsidR="00F11D6B">
        <w:t>suggest that dwellings should also enhance safety and personal well-being</w:t>
      </w:r>
      <w:r w:rsidR="001E1F7A">
        <w:t>’ and that some ‘</w:t>
      </w:r>
      <w:r w:rsidR="00F11D6B">
        <w:t>opportunity to socialise with the people one is living with contributes to well-being</w:t>
      </w:r>
      <w:r w:rsidR="001E1F7A">
        <w:t>’</w:t>
      </w:r>
      <w:r w:rsidR="005674FC">
        <w:t xml:space="preserve"> </w:t>
      </w:r>
      <w:r w:rsidR="00210A7F">
        <w:t xml:space="preserve">I consider </w:t>
      </w:r>
      <w:r w:rsidR="00F554CA">
        <w:t xml:space="preserve">this </w:t>
      </w:r>
      <w:r w:rsidR="005674FC">
        <w:t>remain</w:t>
      </w:r>
      <w:r w:rsidR="00F554CA">
        <w:t xml:space="preserve">s </w:t>
      </w:r>
      <w:r w:rsidR="005674FC">
        <w:t>valid</w:t>
      </w:r>
      <w:r w:rsidR="00F554CA">
        <w:t xml:space="preserve"> even with the changes to clause 15.01 that have occurred</w:t>
      </w:r>
      <w:r w:rsidR="005674FC">
        <w:t>.</w:t>
      </w:r>
      <w:r w:rsidR="00574979">
        <w:t xml:space="preserve">  </w:t>
      </w:r>
      <w:r w:rsidR="00797982">
        <w:t xml:space="preserve">As </w:t>
      </w:r>
      <w:r w:rsidR="00F554CA">
        <w:t xml:space="preserve">also </w:t>
      </w:r>
      <w:r w:rsidR="00797982">
        <w:t xml:space="preserve">noted in </w:t>
      </w:r>
      <w:r w:rsidR="00797982">
        <w:rPr>
          <w:i/>
        </w:rPr>
        <w:t>Dang</w:t>
      </w:r>
      <w:r w:rsidR="007630E1">
        <w:rPr>
          <w:i/>
        </w:rPr>
        <w:t>,</w:t>
      </w:r>
      <w:r w:rsidR="00797982">
        <w:rPr>
          <w:i/>
        </w:rPr>
        <w:t xml:space="preserve"> </w:t>
      </w:r>
      <w:r w:rsidR="00797982">
        <w:t>c</w:t>
      </w:r>
      <w:r w:rsidR="00F11D6B">
        <w:t xml:space="preserve">lause 21.04 </w:t>
      </w:r>
      <w:r w:rsidR="00797982">
        <w:t xml:space="preserve">of the Monash Planning Scheme </w:t>
      </w:r>
      <w:r w:rsidR="00F11D6B">
        <w:t>acknowledges the need for dwelling diversity in terms of providing for a range of household types and sizes</w:t>
      </w:r>
      <w:r w:rsidR="00830420">
        <w:t xml:space="preserve"> and that</w:t>
      </w:r>
      <w:r w:rsidR="00F11D6B">
        <w:t xml:space="preserve"> many students live in sub-standard accommodation.</w:t>
      </w:r>
    </w:p>
    <w:p w14:paraId="1C58960B" w14:textId="3BE6502F" w:rsidR="000C3BD0" w:rsidRDefault="00637899" w:rsidP="008A61C8">
      <w:pPr>
        <w:pStyle w:val="Para1"/>
      </w:pPr>
      <w:r>
        <w:t xml:space="preserve">In discussing the conditions at the hearing I questioned if the intent of the proposal is to accommodate students </w:t>
      </w:r>
      <w:r w:rsidR="00597555">
        <w:t xml:space="preserve">in a shared accommodation or rooming house arrangement, </w:t>
      </w:r>
      <w:r>
        <w:t xml:space="preserve">given the layout of the dwellings.  </w:t>
      </w:r>
      <w:r w:rsidR="00626AB2">
        <w:t xml:space="preserve">Mr O’Brien acknowledged on behalf of the </w:t>
      </w:r>
      <w:r>
        <w:t>applica</w:t>
      </w:r>
      <w:r w:rsidR="00626AB2">
        <w:t>nt</w:t>
      </w:r>
      <w:r>
        <w:t xml:space="preserve"> that the intent is to </w:t>
      </w:r>
      <w:r w:rsidR="002C5244">
        <w:t xml:space="preserve">use the dwellings as rooming houses </w:t>
      </w:r>
      <w:r w:rsidR="008254FD">
        <w:t xml:space="preserve">and that this will need </w:t>
      </w:r>
      <w:r w:rsidR="002C5244">
        <w:t xml:space="preserve">a separate permit for </w:t>
      </w:r>
      <w:r w:rsidR="008C6667">
        <w:rPr>
          <w:noProof/>
          <w:lang w:eastAsia="en-AU"/>
        </w:rPr>
        <w:lastRenderedPageBreak/>
        <w:drawing>
          <wp:anchor distT="0" distB="0" distL="114300" distR="114300" simplePos="0" relativeHeight="251665408" behindDoc="1" locked="0" layoutInCell="1" allowOverlap="1" wp14:anchorId="0D9EE52F" wp14:editId="16902E0C">
            <wp:simplePos x="0" y="0"/>
            <wp:positionH relativeFrom="column">
              <wp:posOffset>5183505</wp:posOffset>
            </wp:positionH>
            <wp:positionV relativeFrom="paragraph">
              <wp:posOffset>8459470</wp:posOffset>
            </wp:positionV>
            <wp:extent cx="1080000" cy="1080000"/>
            <wp:effectExtent l="0" t="0" r="6350" b="6350"/>
            <wp:wrapNone/>
            <wp:docPr id="20" name="VCAT Seal8"/>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C5244">
        <w:t xml:space="preserve">use and </w:t>
      </w:r>
      <w:r w:rsidR="00974DC5">
        <w:t>development</w:t>
      </w:r>
      <w:r w:rsidR="002C5244">
        <w:t xml:space="preserve"> in accordance with changes to the planning scheme introduced while the application was being processed by the council.  </w:t>
      </w:r>
    </w:p>
    <w:p w14:paraId="5E9D854D" w14:textId="4262DC1B" w:rsidR="00447ECB" w:rsidRDefault="00447ECB" w:rsidP="008A61C8">
      <w:pPr>
        <w:pStyle w:val="Para1"/>
      </w:pPr>
      <w:r>
        <w:t xml:space="preserve">At the time the permit application was made to the council in </w:t>
      </w:r>
      <w:r w:rsidR="004B121E">
        <w:t>August 2018</w:t>
      </w:r>
      <w:r w:rsidR="00E9758C">
        <w:t xml:space="preserve"> a dwelling could be used </w:t>
      </w:r>
      <w:r w:rsidR="00574979">
        <w:t>as</w:t>
      </w:r>
      <w:r w:rsidR="00E9758C">
        <w:t xml:space="preserve"> ‘shared accommodation’ </w:t>
      </w:r>
      <w:r w:rsidR="00EC4535">
        <w:t xml:space="preserve">to accommodate students </w:t>
      </w:r>
      <w:r w:rsidR="00E9758C">
        <w:t xml:space="preserve">without the need for a planning permit if </w:t>
      </w:r>
      <w:r w:rsidR="004D0ECA">
        <w:t xml:space="preserve">the dwelling </w:t>
      </w:r>
      <w:r w:rsidR="00E9758C">
        <w:t xml:space="preserve">accommodated less than 10 persons.  </w:t>
      </w:r>
      <w:r w:rsidR="00122F66">
        <w:t xml:space="preserve">A response to further information provided by the applicant in September 2018 </w:t>
      </w:r>
      <w:r w:rsidR="000C3BD0">
        <w:t xml:space="preserve">to the council </w:t>
      </w:r>
      <w:r w:rsidR="00122F66">
        <w:t xml:space="preserve">confirms that the intent of the dwellings is for them to be established as </w:t>
      </w:r>
      <w:r w:rsidR="00505B6C">
        <w:t xml:space="preserve">class 1b) buildings under the </w:t>
      </w:r>
      <w:r w:rsidR="00505B6C" w:rsidRPr="00505B6C">
        <w:rPr>
          <w:i/>
        </w:rPr>
        <w:t>Building Act 1993</w:t>
      </w:r>
      <w:r w:rsidR="00F554CA">
        <w:rPr>
          <w:i/>
        </w:rPr>
        <w:t>,</w:t>
      </w:r>
      <w:r w:rsidR="00505B6C">
        <w:t xml:space="preserve"> </w:t>
      </w:r>
      <w:r w:rsidR="00786714">
        <w:t>being a</w:t>
      </w:r>
      <w:r w:rsidR="00505B6C">
        <w:t xml:space="preserve"> boarding house.</w:t>
      </w:r>
    </w:p>
    <w:p w14:paraId="6F7209F6" w14:textId="08D3760D" w:rsidR="00D768D9" w:rsidRDefault="008A6A7B" w:rsidP="00FF5F2D">
      <w:pPr>
        <w:pStyle w:val="Para1"/>
      </w:pPr>
      <w:r>
        <w:t>In late October 2018 t</w:t>
      </w:r>
      <w:r w:rsidR="002C5244">
        <w:t>he</w:t>
      </w:r>
      <w:r>
        <w:t xml:space="preserve"> planning scheme was changed to establish ‘rooming house’ as a separate definition to </w:t>
      </w:r>
      <w:r w:rsidR="00786714">
        <w:t xml:space="preserve">that of a </w:t>
      </w:r>
      <w:r>
        <w:t xml:space="preserve">dwelling.  </w:t>
      </w:r>
      <w:r w:rsidR="009F3908">
        <w:t xml:space="preserve">A rooming house is defined as </w:t>
      </w:r>
      <w:r w:rsidR="000466BA">
        <w:t>‘l</w:t>
      </w:r>
      <w:r w:rsidR="00D768D9" w:rsidRPr="00FF5F2D">
        <w:t>and</w:t>
      </w:r>
      <w:r w:rsidR="000466BA">
        <w:t>’</w:t>
      </w:r>
      <w:r w:rsidR="00D768D9" w:rsidRPr="00FF5F2D">
        <w:t xml:space="preserve"> used for a rooming house as defined in the </w:t>
      </w:r>
      <w:r w:rsidR="00D768D9" w:rsidRPr="00FF5F2D">
        <w:rPr>
          <w:i/>
        </w:rPr>
        <w:t>Residential Tenancies Act 1997</w:t>
      </w:r>
      <w:r w:rsidR="00D768D9" w:rsidRPr="00FF5F2D">
        <w:t>.</w:t>
      </w:r>
      <w:r w:rsidR="00D768D9">
        <w:t xml:space="preserve">  As set out in </w:t>
      </w:r>
      <w:bookmarkStart w:id="21" w:name="_Hlk12006854"/>
      <w:r w:rsidR="00BD7B8C" w:rsidRPr="00BD7B8C">
        <w:rPr>
          <w:i/>
        </w:rPr>
        <w:t>Port Phillip CC v Chen Group (Aust) Pty Ltd</w:t>
      </w:r>
      <w:r w:rsidR="00BD7B8C">
        <w:rPr>
          <w:rStyle w:val="FootnoteReference"/>
        </w:rPr>
        <w:footnoteReference w:id="4"/>
      </w:r>
      <w:r w:rsidR="00BD7B8C">
        <w:t xml:space="preserve"> </w:t>
      </w:r>
      <w:bookmarkEnd w:id="21"/>
    </w:p>
    <w:p w14:paraId="064D928A" w14:textId="7ED0C002" w:rsidR="006D091C" w:rsidRDefault="00A44D2D" w:rsidP="00FF5F2D">
      <w:pPr>
        <w:pStyle w:val="Quote2"/>
      </w:pPr>
      <w:r>
        <w:t>[60]</w:t>
      </w:r>
      <w:r>
        <w:tab/>
      </w:r>
      <w:r w:rsidR="006D091C">
        <w:t xml:space="preserve">The </w:t>
      </w:r>
      <w:r w:rsidR="006D091C" w:rsidRPr="007E4CD7">
        <w:rPr>
          <w:i/>
        </w:rPr>
        <w:t>Residential Tenancies Act 1997</w:t>
      </w:r>
      <w:r w:rsidR="006D091C">
        <w:t xml:space="preserve"> defines “Rooming house” to mean a building in which there is one or more rooms available for occupancy on payment of rent, in which the total number of people who may occupy those rooms is not less than 4 or in respect of which a declaration under a section of that legislation is in force. “Rent” is a defined term in that legislation, with a specific meaning in the context of a Rooming house:</w:t>
      </w:r>
    </w:p>
    <w:p w14:paraId="68FB6BC2" w14:textId="77777777" w:rsidR="006D091C" w:rsidRDefault="006D091C" w:rsidP="00A44D2D">
      <w:pPr>
        <w:pStyle w:val="Quote1"/>
        <w:ind w:left="2268"/>
      </w:pPr>
      <w:r>
        <w:t>in relation to the residency of a rooming house, the amount paid to a rooming house owner by a resident to occupy a room and use facilities and services.</w:t>
      </w:r>
      <w:r>
        <w:rPr>
          <w:rStyle w:val="FootnoteReference"/>
        </w:rPr>
        <w:footnoteReference w:id="5"/>
      </w:r>
    </w:p>
    <w:p w14:paraId="1061D117" w14:textId="5E2422FD" w:rsidR="006D091C" w:rsidRDefault="00A44D2D" w:rsidP="00A44D2D">
      <w:pPr>
        <w:pStyle w:val="Quote2"/>
      </w:pPr>
      <w:r>
        <w:t>[61]</w:t>
      </w:r>
      <w:r>
        <w:tab/>
      </w:r>
      <w:r w:rsidR="006D091C">
        <w:t>“Resident” is also defined in that legislation with specific reference to a rooming house:</w:t>
      </w:r>
    </w:p>
    <w:p w14:paraId="139F0A24" w14:textId="77777777" w:rsidR="006D091C" w:rsidRDefault="006D091C" w:rsidP="00A44D2D">
      <w:pPr>
        <w:pStyle w:val="Quote1"/>
        <w:ind w:left="2268"/>
      </w:pPr>
      <w:r>
        <w:t>in relation to a rooming house, a person who, with the agreement of the rooming house owner, occupies a room as his or her only or main residence.</w:t>
      </w:r>
      <w:r>
        <w:rPr>
          <w:rStyle w:val="FootnoteReference"/>
        </w:rPr>
        <w:footnoteReference w:id="6"/>
      </w:r>
    </w:p>
    <w:p w14:paraId="4E03E3F8" w14:textId="684F831E" w:rsidR="006D091C" w:rsidRDefault="003D4DF0" w:rsidP="003D4DF0">
      <w:pPr>
        <w:pStyle w:val="Para1"/>
      </w:pPr>
      <w:r>
        <w:t xml:space="preserve">Whether the dwellings </w:t>
      </w:r>
      <w:r w:rsidR="000466BA">
        <w:t xml:space="preserve">are </w:t>
      </w:r>
      <w:r>
        <w:t>converted to a rooming house</w:t>
      </w:r>
      <w:r w:rsidR="009973FE">
        <w:t xml:space="preserve"> within which students may rent room</w:t>
      </w:r>
      <w:r w:rsidR="00A043D7">
        <w:t>s,</w:t>
      </w:r>
      <w:r>
        <w:t xml:space="preserve"> or</w:t>
      </w:r>
      <w:r w:rsidR="003847AE">
        <w:t xml:space="preserve"> whether students</w:t>
      </w:r>
      <w:r>
        <w:t xml:space="preserve"> </w:t>
      </w:r>
      <w:r w:rsidR="003847AE">
        <w:t xml:space="preserve">co-own or co-lease </w:t>
      </w:r>
      <w:r w:rsidR="00A043D7">
        <w:t xml:space="preserve">the </w:t>
      </w:r>
      <w:r w:rsidR="003847AE">
        <w:t xml:space="preserve">dwellings </w:t>
      </w:r>
      <w:r w:rsidR="000664D7">
        <w:t>is unknown, but it is common ground that the intent of the dwellings is that they are occupied by students</w:t>
      </w:r>
      <w:r w:rsidR="000466BA">
        <w:t xml:space="preserve"> in a shared living arrangement</w:t>
      </w:r>
      <w:r w:rsidR="001317ED">
        <w:t>.</w:t>
      </w:r>
      <w:r w:rsidR="00BF2CF4">
        <w:t xml:space="preserve">  This is also evident in the </w:t>
      </w:r>
      <w:r w:rsidR="0075195C">
        <w:t>provision of en</w:t>
      </w:r>
      <w:r w:rsidR="00644579">
        <w:t>-</w:t>
      </w:r>
      <w:r w:rsidR="0075195C">
        <w:t xml:space="preserve">suites to most bedrooms and the extensive kitchen facilities.  The location of Monash University some 500 metres to the east is a key attractor </w:t>
      </w:r>
      <w:r w:rsidR="004761AF">
        <w:t xml:space="preserve">for the dwellings to be used </w:t>
      </w:r>
      <w:r w:rsidR="005A2D62">
        <w:t>for</w:t>
      </w:r>
      <w:r w:rsidR="004761AF">
        <w:t xml:space="preserve"> student accommodation.</w:t>
      </w:r>
    </w:p>
    <w:p w14:paraId="219E0111" w14:textId="104A31DE" w:rsidR="00C016EF" w:rsidRDefault="00AB2D9E" w:rsidP="00AE10A5">
      <w:pPr>
        <w:pStyle w:val="Para1"/>
      </w:pPr>
      <w:r>
        <w:t xml:space="preserve">The council has a student accommodation policy at clause 22.10.  Ms Kellock </w:t>
      </w:r>
      <w:r w:rsidR="00ED411B">
        <w:t xml:space="preserve">submits that she is </w:t>
      </w:r>
      <w:r>
        <w:t xml:space="preserve">not clear </w:t>
      </w:r>
      <w:r w:rsidR="00ED411B">
        <w:t>whether</w:t>
      </w:r>
      <w:r>
        <w:t xml:space="preserve"> the policy applie</w:t>
      </w:r>
      <w:r w:rsidR="00ED411B">
        <w:t>s</w:t>
      </w:r>
      <w:r>
        <w:t xml:space="preserve"> as her enquires with council officers is that it only applies where the use is to </w:t>
      </w:r>
      <w:r w:rsidR="008C6667">
        <w:rPr>
          <w:noProof/>
          <w:lang w:eastAsia="en-AU"/>
        </w:rPr>
        <w:lastRenderedPageBreak/>
        <w:drawing>
          <wp:anchor distT="0" distB="0" distL="114300" distR="114300" simplePos="0" relativeHeight="251666432" behindDoc="1" locked="0" layoutInCell="1" allowOverlap="1" wp14:anchorId="0967CB46" wp14:editId="3A05AC48">
            <wp:simplePos x="0" y="0"/>
            <wp:positionH relativeFrom="column">
              <wp:posOffset>5183505</wp:posOffset>
            </wp:positionH>
            <wp:positionV relativeFrom="paragraph">
              <wp:posOffset>8459470</wp:posOffset>
            </wp:positionV>
            <wp:extent cx="1080000" cy="1080000"/>
            <wp:effectExtent l="0" t="0" r="6350" b="6350"/>
            <wp:wrapNone/>
            <wp:docPr id="21" name="VCAT Seal9"/>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accommodate students and she was advised that the dwellings are yet to be sought to converted to a rooming house.  </w:t>
      </w:r>
      <w:r w:rsidR="0097354B">
        <w:t>I am satisfied that e</w:t>
      </w:r>
      <w:r w:rsidR="00974DC5">
        <w:t xml:space="preserve">ven if the dwellings are not </w:t>
      </w:r>
      <w:r w:rsidR="003E25E2">
        <w:t xml:space="preserve">converted to a </w:t>
      </w:r>
      <w:r w:rsidR="00974DC5">
        <w:t xml:space="preserve">rooming house, </w:t>
      </w:r>
      <w:r w:rsidR="003705E3">
        <w:t xml:space="preserve">it is evident from submissions made and the information before me that the </w:t>
      </w:r>
      <w:r w:rsidR="005961AB">
        <w:t>dwellings are designed</w:t>
      </w:r>
      <w:r w:rsidR="00A46124">
        <w:t xml:space="preserve"> to accommodate students</w:t>
      </w:r>
      <w:r w:rsidR="000D2973">
        <w:t xml:space="preserve"> and t</w:t>
      </w:r>
      <w:r w:rsidR="005A2D62">
        <w:t>he</w:t>
      </w:r>
      <w:r w:rsidR="00AB05D2">
        <w:t xml:space="preserve"> student accommodation policy </w:t>
      </w:r>
      <w:r w:rsidR="005A2D62">
        <w:t>at clause 22.10</w:t>
      </w:r>
      <w:r w:rsidR="00AB05D2">
        <w:t xml:space="preserve"> </w:t>
      </w:r>
      <w:r w:rsidR="003E25E2">
        <w:t xml:space="preserve">therefore </w:t>
      </w:r>
      <w:r w:rsidR="007C0E0B">
        <w:t>applies</w:t>
      </w:r>
      <w:r w:rsidR="000D2973">
        <w:t xml:space="preserve">.  This is because the policy states it applies </w:t>
      </w:r>
      <w:r w:rsidR="007C0E0B">
        <w:t>where a permit is required for a dwelling</w:t>
      </w:r>
      <w:r w:rsidR="00C016EF">
        <w:t>, including ‘</w:t>
      </w:r>
      <w:r w:rsidR="00C016EF" w:rsidRPr="00C016EF">
        <w:t xml:space="preserve">two or more Dwellings that are purposely designed and to be built specifically for student accommodation’.  </w:t>
      </w:r>
    </w:p>
    <w:p w14:paraId="1D5209AD" w14:textId="49BFB992" w:rsidR="005D445E" w:rsidRDefault="00DC559C" w:rsidP="000972D6">
      <w:pPr>
        <w:pStyle w:val="Para1"/>
      </w:pPr>
      <w:r>
        <w:t xml:space="preserve">The policy refers to a student accommodation policy of the council, dated 2009 that </w:t>
      </w:r>
      <w:r w:rsidR="005D445E">
        <w:t xml:space="preserve">directs that common kitchen and </w:t>
      </w:r>
      <w:r w:rsidR="00C23D73" w:rsidRPr="00C23D73">
        <w:t xml:space="preserve">dining/meals area </w:t>
      </w:r>
      <w:r w:rsidR="005D445E">
        <w:t>should</w:t>
      </w:r>
      <w:r w:rsidR="00C23D73" w:rsidRPr="00C23D73">
        <w:t xml:space="preserve"> cater for the total number of students. </w:t>
      </w:r>
      <w:r w:rsidR="005D445E">
        <w:t xml:space="preserve"> There is no prescribed size, and nor are the council conditions seeking a prescribed size.  The conditions </w:t>
      </w:r>
      <w:r w:rsidR="00852895">
        <w:t xml:space="preserve">simply seek to provide communal space that can accommodate at least </w:t>
      </w:r>
      <w:r w:rsidR="00E014B7">
        <w:t>eight</w:t>
      </w:r>
      <w:r w:rsidR="00852895">
        <w:t xml:space="preserve"> adults living </w:t>
      </w:r>
      <w:r w:rsidR="00E014B7">
        <w:t>in at least eight bedrooms</w:t>
      </w:r>
      <w:r w:rsidR="00E014B7">
        <w:rPr>
          <w:rStyle w:val="FootnoteReference"/>
        </w:rPr>
        <w:footnoteReference w:id="7"/>
      </w:r>
      <w:r w:rsidR="00E014B7">
        <w:t>.</w:t>
      </w:r>
    </w:p>
    <w:p w14:paraId="5B3EE8E9" w14:textId="646AB874" w:rsidR="00912113" w:rsidRDefault="00912113" w:rsidP="000972D6">
      <w:pPr>
        <w:pStyle w:val="Para1"/>
      </w:pPr>
      <w:r>
        <w:t>While the applicant estimate</w:t>
      </w:r>
      <w:r w:rsidR="005A2D62">
        <w:t>s</w:t>
      </w:r>
      <w:r>
        <w:t xml:space="preserve"> the shared living and dining areas </w:t>
      </w:r>
      <w:r w:rsidR="005A2D62">
        <w:t>are</w:t>
      </w:r>
      <w:r>
        <w:t xml:space="preserve"> over 30 sqm</w:t>
      </w:r>
      <w:r w:rsidR="0080096D">
        <w:t xml:space="preserve"> in area</w:t>
      </w:r>
      <w:r>
        <w:t xml:space="preserve"> my assessment differs.  </w:t>
      </w:r>
      <w:r w:rsidR="00CD3F71">
        <w:t xml:space="preserve">The dining area of dwelling 2, between the window and kitchen bench, west of the entry door is </w:t>
      </w:r>
      <w:r w:rsidR="006213FB">
        <w:t>approximately 3.5 x 2.5 metres.  While not all residents may eat together, providing a dining space that precludes this opportunity</w:t>
      </w:r>
      <w:r w:rsidR="006D22E6">
        <w:t xml:space="preserve">, or </w:t>
      </w:r>
      <w:r w:rsidR="00F67BEC">
        <w:t>the</w:t>
      </w:r>
      <w:r w:rsidR="006D22E6">
        <w:t xml:space="preserve"> opportunity for students to have friends share a meal,</w:t>
      </w:r>
      <w:r w:rsidR="006213FB">
        <w:t xml:space="preserve"> </w:t>
      </w:r>
      <w:r w:rsidR="000579D8">
        <w:t xml:space="preserve">is not an amenable or liveable outcome.  </w:t>
      </w:r>
      <w:r w:rsidR="00F67BEC">
        <w:t>The</w:t>
      </w:r>
      <w:r w:rsidR="00917929">
        <w:t xml:space="preserve"> usable living space of dwelling 2</w:t>
      </w:r>
      <w:r w:rsidR="002F2C10">
        <w:t>, not encumbered by hallway</w:t>
      </w:r>
      <w:r w:rsidR="00F67BEC">
        <w:rPr>
          <w:rStyle w:val="FootnoteReference"/>
        </w:rPr>
        <w:footnoteReference w:id="8"/>
      </w:r>
      <w:r w:rsidR="002F2C10">
        <w:t xml:space="preserve"> space</w:t>
      </w:r>
      <w:r w:rsidR="00D8787A">
        <w:t>,</w:t>
      </w:r>
      <w:r w:rsidR="002F2C10">
        <w:t xml:space="preserve"> is approximately 3 x 3.5 metres.  For a</w:t>
      </w:r>
      <w:r w:rsidR="0088058D">
        <w:t>n</w:t>
      </w:r>
      <w:r w:rsidR="002F2C10">
        <w:t xml:space="preserve"> </w:t>
      </w:r>
      <w:r w:rsidR="00B35049">
        <w:t>eight</w:t>
      </w:r>
      <w:r w:rsidR="00F67BEC">
        <w:t>-</w:t>
      </w:r>
      <w:r w:rsidR="002F2C10">
        <w:t xml:space="preserve">bedroom dwelling, </w:t>
      </w:r>
      <w:r w:rsidR="00D8787A">
        <w:t>designed to accommodate</w:t>
      </w:r>
      <w:r w:rsidR="002F2C10">
        <w:t xml:space="preserve"> students I find </w:t>
      </w:r>
      <w:r w:rsidR="00B35049">
        <w:t>th</w:t>
      </w:r>
      <w:r w:rsidR="002F2C10">
        <w:t xml:space="preserve">is </w:t>
      </w:r>
      <w:r w:rsidR="00963F0F">
        <w:t xml:space="preserve">space </w:t>
      </w:r>
      <w:r w:rsidR="002F2C10">
        <w:t>inadequate.</w:t>
      </w:r>
      <w:r w:rsidR="002E3054">
        <w:t xml:space="preserve">  I therefore find that condition 1</w:t>
      </w:r>
      <w:r w:rsidR="004D4CCB">
        <w:t xml:space="preserve">e) that requires bedroom 3 of this dwelling to be converted to a laundry with a larger communal kitchen and living space </w:t>
      </w:r>
      <w:r w:rsidR="00050E97">
        <w:t xml:space="preserve">has a nexus to its developed form and </w:t>
      </w:r>
      <w:r w:rsidR="004D4CCB">
        <w:t xml:space="preserve">is </w:t>
      </w:r>
      <w:r w:rsidR="007E4714">
        <w:t>reasonable</w:t>
      </w:r>
      <w:r w:rsidR="00050E97">
        <w:t xml:space="preserve">.  It therefore </w:t>
      </w:r>
      <w:r w:rsidR="007E4714">
        <w:t>should be retained.</w:t>
      </w:r>
    </w:p>
    <w:p w14:paraId="7CBB13A5" w14:textId="6589CC4A" w:rsidR="002F2C10" w:rsidRDefault="002E3054" w:rsidP="000972D6">
      <w:pPr>
        <w:pStyle w:val="Para1"/>
      </w:pPr>
      <w:r>
        <w:t xml:space="preserve">The more open plan </w:t>
      </w:r>
      <w:r w:rsidR="00884A3E">
        <w:t xml:space="preserve">arrangement </w:t>
      </w:r>
      <w:r>
        <w:t xml:space="preserve">of dwelling 1 is marginally better than in dwelling 2 but I remain concerned that it is a small space for the shared living arrangement.  </w:t>
      </w:r>
      <w:r w:rsidR="007E4714">
        <w:t xml:space="preserve">I am not specifically concerned that bedroom 3 should be deleted and converted to a living space, but the kitchen and living space </w:t>
      </w:r>
      <w:r w:rsidR="00884A3E">
        <w:t>should</w:t>
      </w:r>
      <w:r w:rsidR="007E4714">
        <w:t xml:space="preserve"> be larger.  This </w:t>
      </w:r>
      <w:r w:rsidR="00742ED3">
        <w:t xml:space="preserve">could be achieved through deleting one of bedroom 1, 2 or 3 at ground level.  I note that deleting bedroom 1 </w:t>
      </w:r>
      <w:r w:rsidR="00954D0F">
        <w:t xml:space="preserve">would improve northern orientation to the living space and </w:t>
      </w:r>
      <w:r w:rsidR="00050E97">
        <w:t xml:space="preserve">potentially </w:t>
      </w:r>
      <w:r w:rsidR="00954D0F">
        <w:t xml:space="preserve">provide a more functional layout to the living area.  </w:t>
      </w:r>
    </w:p>
    <w:p w14:paraId="7E21F76F" w14:textId="67743B0C" w:rsidR="0005472B" w:rsidRDefault="0005472B" w:rsidP="000972D6">
      <w:pPr>
        <w:pStyle w:val="Para1"/>
      </w:pPr>
      <w:r>
        <w:t xml:space="preserve">I therefore will amend condition 1d) to require that one of bedrooms 1, 2 or 3 at ground level be deleted </w:t>
      </w:r>
      <w:r w:rsidR="00E4407B">
        <w:t>to allow for a larger dining and living area.</w:t>
      </w:r>
    </w:p>
    <w:p w14:paraId="1B981EB2" w14:textId="61FC8DBA" w:rsidR="00A67546" w:rsidRDefault="00A67546" w:rsidP="00710A48">
      <w:pPr>
        <w:pStyle w:val="Heading2"/>
      </w:pPr>
      <w:r>
        <w:t>Is a separate laundary needed to each dwelling?</w:t>
      </w:r>
    </w:p>
    <w:p w14:paraId="6C9B0438" w14:textId="05B93ED7" w:rsidR="00B95BF7" w:rsidRDefault="005338E2" w:rsidP="00B95BF7">
      <w:pPr>
        <w:pStyle w:val="Para1"/>
        <w:numPr>
          <w:ilvl w:val="0"/>
          <w:numId w:val="14"/>
        </w:numPr>
      </w:pPr>
      <w:bookmarkStart w:id="22" w:name="_Ref16859406"/>
      <w:r>
        <w:t xml:space="preserve">The council maintains that each dwelling should be provided with a separate room for a laundry.  Each dwelling is currently provided with </w:t>
      </w:r>
      <w:r w:rsidR="008C6667">
        <w:rPr>
          <w:noProof/>
          <w:lang w:eastAsia="en-AU"/>
        </w:rPr>
        <w:lastRenderedPageBreak/>
        <w:drawing>
          <wp:anchor distT="0" distB="0" distL="114300" distR="114300" simplePos="0" relativeHeight="251667456" behindDoc="1" locked="0" layoutInCell="1" allowOverlap="1" wp14:anchorId="2EAC799A" wp14:editId="38FB3425">
            <wp:simplePos x="0" y="0"/>
            <wp:positionH relativeFrom="column">
              <wp:posOffset>5183505</wp:posOffset>
            </wp:positionH>
            <wp:positionV relativeFrom="paragraph">
              <wp:posOffset>8459470</wp:posOffset>
            </wp:positionV>
            <wp:extent cx="1080000" cy="1080000"/>
            <wp:effectExtent l="0" t="0" r="6350" b="6350"/>
            <wp:wrapNone/>
            <wp:docPr id="22" name="VCAT Seal10"/>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laundry facilities but </w:t>
      </w:r>
      <w:r w:rsidR="009F5398">
        <w:t>both are what both parties referred to as ‘</w:t>
      </w:r>
      <w:r w:rsidR="00644579">
        <w:t>European</w:t>
      </w:r>
      <w:r w:rsidR="009F5398">
        <w:t xml:space="preserve"> style’ cupboard laundries in hallway spaces.</w:t>
      </w:r>
      <w:bookmarkEnd w:id="22"/>
      <w:r w:rsidR="009F5398">
        <w:t xml:space="preserve">  </w:t>
      </w:r>
    </w:p>
    <w:p w14:paraId="3CDD27D8" w14:textId="10D50089" w:rsidR="009F5398" w:rsidRDefault="009F5398" w:rsidP="00B95BF7">
      <w:pPr>
        <w:pStyle w:val="Para1"/>
        <w:numPr>
          <w:ilvl w:val="0"/>
          <w:numId w:val="14"/>
        </w:numPr>
      </w:pPr>
      <w:r>
        <w:t>Both dwellings include two washing machines in large hallway cupboards. I see no need for these to be in separate rooms</w:t>
      </w:r>
      <w:r w:rsidR="00963F0F">
        <w:t xml:space="preserve"> and nothing was put to me that explained this specific need</w:t>
      </w:r>
      <w:r>
        <w:t xml:space="preserve">.  I therefore will </w:t>
      </w:r>
      <w:r w:rsidR="000564E2">
        <w:t xml:space="preserve">delete condition 1f).  I have retained condition 1e) to ensure that the living and dining space is </w:t>
      </w:r>
      <w:r w:rsidR="005E1A09">
        <w:t>increased as is described as the intent of condition 1e) not because I find a specific need for a separate room for a laundry.</w:t>
      </w:r>
    </w:p>
    <w:p w14:paraId="11FDC4C5" w14:textId="726F0E4B" w:rsidR="00B95BF7" w:rsidRDefault="00B95BF7" w:rsidP="00710A48">
      <w:pPr>
        <w:pStyle w:val="Heading2"/>
      </w:pPr>
      <w:r>
        <w:t>Conclusion</w:t>
      </w:r>
    </w:p>
    <w:p w14:paraId="66E4756B" w14:textId="77777777" w:rsidR="00283807" w:rsidRDefault="00B95BF7" w:rsidP="00B95BF7">
      <w:pPr>
        <w:pStyle w:val="Para1"/>
        <w:numPr>
          <w:ilvl w:val="0"/>
          <w:numId w:val="14"/>
        </w:numPr>
      </w:pPr>
      <w:r>
        <w:t xml:space="preserve">For the reasons </w:t>
      </w:r>
      <w:r w:rsidRPr="00283807">
        <w:t xml:space="preserve">given above, the decision of the responsible authority is </w:t>
      </w:r>
      <w:r w:rsidR="001147EB" w:rsidRPr="00283807">
        <w:t>v</w:t>
      </w:r>
      <w:r w:rsidRPr="00283807">
        <w:t xml:space="preserve">aried.  </w:t>
      </w:r>
      <w:r w:rsidR="001147EB" w:rsidRPr="00283807">
        <w:t>The permit</w:t>
      </w:r>
      <w:r w:rsidRPr="00283807">
        <w:t xml:space="preserve"> is </w:t>
      </w:r>
      <w:r w:rsidR="001147EB" w:rsidRPr="00283807">
        <w:t>varied to delete conditions</w:t>
      </w:r>
      <w:r w:rsidR="005E1A09" w:rsidRPr="00283807">
        <w:t xml:space="preserve"> that reduce the upper level footprint and </w:t>
      </w:r>
      <w:r w:rsidR="00283807" w:rsidRPr="00283807">
        <w:t>the need for separate</w:t>
      </w:r>
      <w:r w:rsidR="00283807">
        <w:t xml:space="preserve"> laundry rooms.</w:t>
      </w:r>
    </w:p>
    <w:p w14:paraId="17A0A3DC" w14:textId="77777777" w:rsidR="00322661" w:rsidRDefault="00322661" w:rsidP="00322661"/>
    <w:p w14:paraId="08BAF68F" w14:textId="77777777" w:rsidR="00322661" w:rsidRDefault="00322661" w:rsidP="00322661"/>
    <w:p w14:paraId="079171F1" w14:textId="77777777" w:rsidR="00322661" w:rsidRDefault="00322661" w:rsidP="00322661"/>
    <w:tbl>
      <w:tblPr>
        <w:tblW w:w="5000" w:type="pct"/>
        <w:tblLook w:val="0000" w:firstRow="0" w:lastRow="0" w:firstColumn="0" w:lastColumn="0" w:noHBand="0" w:noVBand="0"/>
      </w:tblPr>
      <w:tblGrid>
        <w:gridCol w:w="2976"/>
        <w:gridCol w:w="2552"/>
        <w:gridCol w:w="2977"/>
      </w:tblGrid>
      <w:tr w:rsidR="00322661" w14:paraId="081857A6" w14:textId="77777777" w:rsidTr="00BC190D">
        <w:tc>
          <w:tcPr>
            <w:tcW w:w="1750" w:type="pct"/>
          </w:tcPr>
          <w:p w14:paraId="71CCE18C" w14:textId="77777777" w:rsidR="00322661" w:rsidRPr="00B876A2" w:rsidRDefault="00C57B14" w:rsidP="00BC190D">
            <w:pPr>
              <w:rPr>
                <w:b/>
              </w:rPr>
            </w:pPr>
            <w:r>
              <w:rPr>
                <w:b/>
              </w:rPr>
              <w:t>Alison Glynn</w:t>
            </w:r>
          </w:p>
          <w:p w14:paraId="5BF59E23" w14:textId="77777777" w:rsidR="00322661" w:rsidRDefault="00322661" w:rsidP="00BC190D">
            <w:pPr>
              <w:tabs>
                <w:tab w:val="left" w:pos="1515"/>
              </w:tabs>
              <w:rPr>
                <w:b/>
              </w:rPr>
            </w:pPr>
            <w:r>
              <w:rPr>
                <w:b/>
              </w:rPr>
              <w:t>Member</w:t>
            </w:r>
          </w:p>
        </w:tc>
        <w:tc>
          <w:tcPr>
            <w:tcW w:w="1500" w:type="pct"/>
          </w:tcPr>
          <w:p w14:paraId="78C07C4E" w14:textId="77777777" w:rsidR="00322661" w:rsidRDefault="00322661" w:rsidP="00BC190D"/>
        </w:tc>
        <w:tc>
          <w:tcPr>
            <w:tcW w:w="1750" w:type="pct"/>
          </w:tcPr>
          <w:p w14:paraId="0B6DA324" w14:textId="77777777" w:rsidR="00322661" w:rsidRDefault="00322661" w:rsidP="00BC190D"/>
        </w:tc>
      </w:tr>
    </w:tbl>
    <w:p w14:paraId="28E73E4B" w14:textId="2789DD48" w:rsidR="001C2974" w:rsidRDefault="001C2974" w:rsidP="00322661"/>
    <w:p w14:paraId="1E5B16E4" w14:textId="4E703208" w:rsidR="00322661" w:rsidRDefault="00322661" w:rsidP="00322661"/>
    <w:sectPr w:rsidR="00322661">
      <w:footerReference w:type="default" r:id="rId11"/>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9A609" w14:textId="77777777" w:rsidR="003A5F72" w:rsidRDefault="003A5F72">
      <w:r>
        <w:separator/>
      </w:r>
    </w:p>
  </w:endnote>
  <w:endnote w:type="continuationSeparator" w:id="0">
    <w:p w14:paraId="2B7A0B61" w14:textId="77777777" w:rsidR="003A5F72" w:rsidRDefault="003A5F72">
      <w:r>
        <w:continuationSeparator/>
      </w:r>
    </w:p>
  </w:endnote>
  <w:endnote w:type="continuationNotice" w:id="1">
    <w:p w14:paraId="71CCA2CE" w14:textId="77777777" w:rsidR="003A5F72" w:rsidRDefault="003A5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tblBorders>
      <w:tblLook w:val="0000" w:firstRow="0" w:lastRow="0" w:firstColumn="0" w:lastColumn="0" w:noHBand="0" w:noVBand="0"/>
    </w:tblPr>
    <w:tblGrid>
      <w:gridCol w:w="6607"/>
      <w:gridCol w:w="1898"/>
    </w:tblGrid>
    <w:tr w:rsidR="007F601B" w14:paraId="21D24398" w14:textId="77777777">
      <w:trPr>
        <w:cantSplit/>
      </w:trPr>
      <w:tc>
        <w:tcPr>
          <w:tcW w:w="3884" w:type="pct"/>
        </w:tcPr>
        <w:p w14:paraId="702A35F5" w14:textId="77777777" w:rsidR="007F601B" w:rsidRDefault="007F601B">
          <w:pPr>
            <w:pStyle w:val="Footer"/>
            <w:spacing w:beforeLines="60" w:before="144"/>
            <w:rPr>
              <w:rFonts w:cs="Arial"/>
              <w:sz w:val="18"/>
              <w:szCs w:val="18"/>
            </w:rPr>
          </w:pPr>
          <w:bookmarkStart w:id="23" w:name="FooterDescription"/>
          <w:bookmarkStart w:id="24" w:name="FooterFileNo1"/>
          <w:bookmarkEnd w:id="23"/>
          <w:bookmarkEnd w:id="24"/>
          <w:r>
            <w:rPr>
              <w:rFonts w:cs="Arial"/>
              <w:sz w:val="18"/>
              <w:szCs w:val="18"/>
            </w:rPr>
            <w:t xml:space="preserve">VCAT Reference No. </w:t>
          </w:r>
          <w:r w:rsidR="004D7451">
            <w:rPr>
              <w:rFonts w:cs="Arial"/>
              <w:sz w:val="18"/>
              <w:szCs w:val="18"/>
            </w:rPr>
            <w:t>P304/2019</w:t>
          </w:r>
        </w:p>
      </w:tc>
      <w:tc>
        <w:tcPr>
          <w:tcW w:w="1116" w:type="pct"/>
        </w:tcPr>
        <w:p w14:paraId="1E64F330" w14:textId="03DD2528"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D91788">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D91788">
            <w:rPr>
              <w:rFonts w:cs="Arial"/>
              <w:noProof/>
              <w:sz w:val="18"/>
              <w:szCs w:val="18"/>
            </w:rPr>
            <w:t>10</w:t>
          </w:r>
          <w:r>
            <w:rPr>
              <w:rFonts w:cs="Arial"/>
              <w:sz w:val="18"/>
              <w:szCs w:val="18"/>
            </w:rPr>
            <w:fldChar w:fldCharType="end"/>
          </w:r>
        </w:p>
      </w:tc>
    </w:tr>
  </w:tbl>
  <w:p w14:paraId="1A77D8D1" w14:textId="77777777" w:rsidR="007F601B" w:rsidRDefault="007F601B">
    <w:pPr>
      <w:pStyle w:val="Footer"/>
      <w:rPr>
        <w:sz w:val="2"/>
      </w:rPr>
    </w:pPr>
  </w:p>
  <w:p w14:paraId="02C57F0E" w14:textId="77777777" w:rsidR="007F601B" w:rsidRDefault="007F601B">
    <w:pPr>
      <w:rPr>
        <w:sz w:val="2"/>
      </w:rPr>
    </w:pPr>
  </w:p>
  <w:p w14:paraId="6DA7E73E"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9C83A" w14:textId="77777777" w:rsidR="003A5F72" w:rsidRDefault="003A5F72">
      <w:pPr>
        <w:pStyle w:val="Footer"/>
        <w:pBdr>
          <w:top w:val="single" w:sz="4" w:space="1" w:color="auto"/>
        </w:pBdr>
        <w:rPr>
          <w:sz w:val="12"/>
        </w:rPr>
      </w:pPr>
    </w:p>
  </w:footnote>
  <w:footnote w:type="continuationSeparator" w:id="0">
    <w:p w14:paraId="53BBB39F" w14:textId="77777777" w:rsidR="003A5F72" w:rsidRDefault="003A5F72">
      <w:r>
        <w:continuationSeparator/>
      </w:r>
    </w:p>
  </w:footnote>
  <w:footnote w:type="continuationNotice" w:id="1">
    <w:p w14:paraId="46F911A3" w14:textId="77777777" w:rsidR="003A5F72" w:rsidRDefault="003A5F72"/>
  </w:footnote>
  <w:footnote w:id="2">
    <w:p w14:paraId="76A91B33" w14:textId="77777777" w:rsidR="00322661" w:rsidRDefault="00322661" w:rsidP="00322661">
      <w:pPr>
        <w:pStyle w:val="FootnoteText"/>
      </w:pPr>
      <w:r>
        <w:rPr>
          <w:rStyle w:val="FootnoteReference"/>
        </w:rPr>
        <w:footnoteRef/>
      </w:r>
      <w:r>
        <w:t xml:space="preserve"> </w:t>
      </w:r>
      <w:r>
        <w:tab/>
        <w:t>The submissions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14:paraId="6C1AD92D" w14:textId="152838DF" w:rsidR="00521619" w:rsidRDefault="00521619">
      <w:pPr>
        <w:pStyle w:val="FootnoteText"/>
      </w:pPr>
      <w:r>
        <w:rPr>
          <w:rStyle w:val="FootnoteReference"/>
        </w:rPr>
        <w:footnoteRef/>
      </w:r>
      <w:r>
        <w:t xml:space="preserve"> </w:t>
      </w:r>
      <w:r>
        <w:tab/>
        <w:t>[2018] VCAT 107</w:t>
      </w:r>
    </w:p>
  </w:footnote>
  <w:footnote w:id="4">
    <w:p w14:paraId="2CC98253" w14:textId="3134EABB" w:rsidR="00BD7B8C" w:rsidRDefault="00BD7B8C">
      <w:pPr>
        <w:pStyle w:val="FootnoteText"/>
      </w:pPr>
      <w:r>
        <w:rPr>
          <w:rStyle w:val="FootnoteReference"/>
        </w:rPr>
        <w:footnoteRef/>
      </w:r>
      <w:r>
        <w:t xml:space="preserve"> </w:t>
      </w:r>
      <w:r>
        <w:tab/>
        <w:t>[2019] VCAT 918</w:t>
      </w:r>
      <w:r w:rsidR="0088058D">
        <w:t>.</w:t>
      </w:r>
    </w:p>
  </w:footnote>
  <w:footnote w:id="5">
    <w:p w14:paraId="6CA49BCB" w14:textId="77777777" w:rsidR="006D091C" w:rsidRDefault="006D091C" w:rsidP="006D091C">
      <w:pPr>
        <w:pStyle w:val="FootnoteText"/>
      </w:pPr>
      <w:r>
        <w:rPr>
          <w:rStyle w:val="FootnoteReference"/>
        </w:rPr>
        <w:footnoteRef/>
      </w:r>
      <w:r>
        <w:t xml:space="preserve"> </w:t>
      </w:r>
      <w:r>
        <w:tab/>
        <w:t xml:space="preserve">Section 3(1) of the </w:t>
      </w:r>
      <w:r w:rsidRPr="007E4CD7">
        <w:rPr>
          <w:i/>
        </w:rPr>
        <w:t>Residential Tenancies Act 1997</w:t>
      </w:r>
      <w:r>
        <w:rPr>
          <w:i/>
        </w:rPr>
        <w:t>.</w:t>
      </w:r>
    </w:p>
  </w:footnote>
  <w:footnote w:id="6">
    <w:p w14:paraId="01F9AA3E" w14:textId="77777777" w:rsidR="006D091C" w:rsidRDefault="006D091C" w:rsidP="006D091C">
      <w:pPr>
        <w:pStyle w:val="FootnoteText"/>
      </w:pPr>
      <w:r>
        <w:rPr>
          <w:rStyle w:val="FootnoteReference"/>
        </w:rPr>
        <w:footnoteRef/>
      </w:r>
      <w:r>
        <w:t xml:space="preserve"> </w:t>
      </w:r>
      <w:r>
        <w:tab/>
        <w:t>Ibid.</w:t>
      </w:r>
    </w:p>
  </w:footnote>
  <w:footnote w:id="7">
    <w:p w14:paraId="63454D15" w14:textId="134E9BE7" w:rsidR="00E014B7" w:rsidRDefault="00E014B7">
      <w:pPr>
        <w:pStyle w:val="FootnoteText"/>
      </w:pPr>
      <w:r>
        <w:rPr>
          <w:rStyle w:val="FootnoteReference"/>
        </w:rPr>
        <w:footnoteRef/>
      </w:r>
      <w:r>
        <w:t xml:space="preserve"> </w:t>
      </w:r>
      <w:r>
        <w:tab/>
        <w:t xml:space="preserve">The application plans provide nine bedrooms.  The effect of conditions 1d) </w:t>
      </w:r>
      <w:r w:rsidR="00912113">
        <w:t xml:space="preserve">1e) </w:t>
      </w:r>
      <w:r>
        <w:t>and 1</w:t>
      </w:r>
      <w:r w:rsidR="00912113">
        <w:t>f</w:t>
      </w:r>
      <w:r>
        <w:t>) is to reduce the dwellings to 8 bedrooms each.</w:t>
      </w:r>
    </w:p>
  </w:footnote>
  <w:footnote w:id="8">
    <w:p w14:paraId="7D67B04B" w14:textId="77777777" w:rsidR="00F67BEC" w:rsidRDefault="00F67BEC" w:rsidP="00F67BEC">
      <w:pPr>
        <w:pStyle w:val="FootnoteText"/>
      </w:pPr>
      <w:r>
        <w:rPr>
          <w:rStyle w:val="FootnoteReference"/>
        </w:rPr>
        <w:footnoteRef/>
      </w:r>
      <w:r>
        <w:t xml:space="preserve"> </w:t>
      </w:r>
      <w:r>
        <w:tab/>
        <w:t>between the front door, garage and rear door.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5DF95E20"/>
    <w:multiLevelType w:val="hybridMultilevel"/>
    <w:tmpl w:val="4816EF38"/>
    <w:lvl w:ilvl="0" w:tplc="B07E59AE">
      <w:start w:val="1"/>
      <w:numFmt w:val="bullet"/>
      <w:lvlText w:val=""/>
      <w:lvlJc w:val="left"/>
      <w:pPr>
        <w:tabs>
          <w:tab w:val="num" w:pos="928"/>
        </w:tabs>
        <w:ind w:left="928" w:hanging="360"/>
      </w:pPr>
      <w:rPr>
        <w:rFonts w:ascii="Symbol" w:hAnsi="Symbol" w:hint="default"/>
        <w:color w:val="auto"/>
      </w:rPr>
    </w:lvl>
    <w:lvl w:ilvl="1" w:tplc="0C090003">
      <w:start w:val="1"/>
      <w:numFmt w:val="bullet"/>
      <w:lvlText w:val="o"/>
      <w:lvlJc w:val="left"/>
      <w:pPr>
        <w:tabs>
          <w:tab w:val="num" w:pos="1648"/>
        </w:tabs>
        <w:ind w:left="1648" w:hanging="360"/>
      </w:pPr>
      <w:rPr>
        <w:rFonts w:ascii="Courier New" w:hAnsi="Courier New" w:cs="Courier New" w:hint="default"/>
      </w:rPr>
    </w:lvl>
    <w:lvl w:ilvl="2" w:tplc="0C090005">
      <w:start w:val="1"/>
      <w:numFmt w:val="bullet"/>
      <w:lvlText w:val=""/>
      <w:lvlJc w:val="left"/>
      <w:pPr>
        <w:tabs>
          <w:tab w:val="num" w:pos="2368"/>
        </w:tabs>
        <w:ind w:left="2368" w:hanging="360"/>
      </w:pPr>
      <w:rPr>
        <w:rFonts w:ascii="Wingdings" w:hAnsi="Wingdings" w:hint="default"/>
      </w:rPr>
    </w:lvl>
    <w:lvl w:ilvl="3" w:tplc="0C090001">
      <w:start w:val="1"/>
      <w:numFmt w:val="bullet"/>
      <w:lvlText w:val=""/>
      <w:lvlJc w:val="left"/>
      <w:pPr>
        <w:tabs>
          <w:tab w:val="num" w:pos="3088"/>
        </w:tabs>
        <w:ind w:left="3088" w:hanging="360"/>
      </w:pPr>
      <w:rPr>
        <w:rFonts w:ascii="Symbol" w:hAnsi="Symbol" w:hint="default"/>
      </w:rPr>
    </w:lvl>
    <w:lvl w:ilvl="4" w:tplc="0C090003">
      <w:start w:val="1"/>
      <w:numFmt w:val="bullet"/>
      <w:lvlText w:val="o"/>
      <w:lvlJc w:val="left"/>
      <w:pPr>
        <w:tabs>
          <w:tab w:val="num" w:pos="3808"/>
        </w:tabs>
        <w:ind w:left="3808" w:hanging="360"/>
      </w:pPr>
      <w:rPr>
        <w:rFonts w:ascii="Courier New" w:hAnsi="Courier New" w:cs="Courier New" w:hint="default"/>
      </w:rPr>
    </w:lvl>
    <w:lvl w:ilvl="5" w:tplc="0C090005">
      <w:start w:val="1"/>
      <w:numFmt w:val="bullet"/>
      <w:lvlText w:val=""/>
      <w:lvlJc w:val="left"/>
      <w:pPr>
        <w:tabs>
          <w:tab w:val="num" w:pos="4528"/>
        </w:tabs>
        <w:ind w:left="4528" w:hanging="360"/>
      </w:pPr>
      <w:rPr>
        <w:rFonts w:ascii="Wingdings" w:hAnsi="Wingdings" w:hint="default"/>
      </w:rPr>
    </w:lvl>
    <w:lvl w:ilvl="6" w:tplc="0C090001">
      <w:start w:val="1"/>
      <w:numFmt w:val="bullet"/>
      <w:lvlText w:val=""/>
      <w:lvlJc w:val="left"/>
      <w:pPr>
        <w:tabs>
          <w:tab w:val="num" w:pos="5248"/>
        </w:tabs>
        <w:ind w:left="5248" w:hanging="360"/>
      </w:pPr>
      <w:rPr>
        <w:rFonts w:ascii="Symbol" w:hAnsi="Symbol" w:hint="default"/>
      </w:rPr>
    </w:lvl>
    <w:lvl w:ilvl="7" w:tplc="0C090003">
      <w:start w:val="1"/>
      <w:numFmt w:val="bullet"/>
      <w:lvlText w:val="o"/>
      <w:lvlJc w:val="left"/>
      <w:pPr>
        <w:tabs>
          <w:tab w:val="num" w:pos="5968"/>
        </w:tabs>
        <w:ind w:left="5968" w:hanging="360"/>
      </w:pPr>
      <w:rPr>
        <w:rFonts w:ascii="Courier New" w:hAnsi="Courier New" w:cs="Courier New" w:hint="default"/>
      </w:rPr>
    </w:lvl>
    <w:lvl w:ilvl="8" w:tplc="0C090005">
      <w:start w:val="1"/>
      <w:numFmt w:val="bullet"/>
      <w:lvlText w:val=""/>
      <w:lvlJc w:val="left"/>
      <w:pPr>
        <w:tabs>
          <w:tab w:val="num" w:pos="6688"/>
        </w:tabs>
        <w:ind w:left="6688" w:hanging="360"/>
      </w:pPr>
      <w:rPr>
        <w:rFonts w:ascii="Wingdings" w:hAnsi="Wingdings" w:hint="default"/>
      </w:rPr>
    </w:lvl>
  </w:abstractNum>
  <w:abstractNum w:abstractNumId="9"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9"/>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9"/>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num>
  <w:num w:numId="2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CZrwyhd1lzomCFsm2PA+wlrZbiQD7D8SvpHa5h8FFotAVsHC5uPr+3NpYDyp+t0BXWP1MX7alLwxQIjV5BbE9w==" w:salt="JgE070XzfqEgHPKufmXxOw=="/>
  <w:defaultTabStop w:val="56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6202B2C-F15B-4847-9A9E-C3CE7BDC2578}"/>
    <w:docVar w:name="dgnword-eventsink" w:val="373430936"/>
    <w:docVar w:name="VCAT Seal" w:val="True"/>
  </w:docVars>
  <w:rsids>
    <w:rsidRoot w:val="008274FC"/>
    <w:rsid w:val="0001113F"/>
    <w:rsid w:val="00015435"/>
    <w:rsid w:val="00027F01"/>
    <w:rsid w:val="00030901"/>
    <w:rsid w:val="000441FE"/>
    <w:rsid w:val="000466BA"/>
    <w:rsid w:val="00050E97"/>
    <w:rsid w:val="0005472B"/>
    <w:rsid w:val="000564E2"/>
    <w:rsid w:val="000579D8"/>
    <w:rsid w:val="00061FEB"/>
    <w:rsid w:val="00062780"/>
    <w:rsid w:val="00063C31"/>
    <w:rsid w:val="000664D7"/>
    <w:rsid w:val="000729D0"/>
    <w:rsid w:val="000767BC"/>
    <w:rsid w:val="000854CC"/>
    <w:rsid w:val="000945F9"/>
    <w:rsid w:val="00094A20"/>
    <w:rsid w:val="000A3616"/>
    <w:rsid w:val="000B04B4"/>
    <w:rsid w:val="000C3BD0"/>
    <w:rsid w:val="000D1BCB"/>
    <w:rsid w:val="000D2973"/>
    <w:rsid w:val="000F4E28"/>
    <w:rsid w:val="001147EB"/>
    <w:rsid w:val="00122F66"/>
    <w:rsid w:val="00124C1E"/>
    <w:rsid w:val="001317ED"/>
    <w:rsid w:val="00152541"/>
    <w:rsid w:val="001567AE"/>
    <w:rsid w:val="0016093F"/>
    <w:rsid w:val="00163377"/>
    <w:rsid w:val="001639B3"/>
    <w:rsid w:val="00167876"/>
    <w:rsid w:val="00167F33"/>
    <w:rsid w:val="001708C4"/>
    <w:rsid w:val="0018330C"/>
    <w:rsid w:val="00190DD6"/>
    <w:rsid w:val="001C2974"/>
    <w:rsid w:val="001E1F7A"/>
    <w:rsid w:val="001E49C7"/>
    <w:rsid w:val="001E68EB"/>
    <w:rsid w:val="001F2D3D"/>
    <w:rsid w:val="001F6FB5"/>
    <w:rsid w:val="0021070B"/>
    <w:rsid w:val="00210A7F"/>
    <w:rsid w:val="002161F8"/>
    <w:rsid w:val="00230F60"/>
    <w:rsid w:val="00232967"/>
    <w:rsid w:val="0023472F"/>
    <w:rsid w:val="0023754C"/>
    <w:rsid w:val="0024611A"/>
    <w:rsid w:val="0028144B"/>
    <w:rsid w:val="0028244B"/>
    <w:rsid w:val="00283807"/>
    <w:rsid w:val="00290F9B"/>
    <w:rsid w:val="00293A03"/>
    <w:rsid w:val="002A47E1"/>
    <w:rsid w:val="002A52E0"/>
    <w:rsid w:val="002B7051"/>
    <w:rsid w:val="002C2C48"/>
    <w:rsid w:val="002C5244"/>
    <w:rsid w:val="002C7500"/>
    <w:rsid w:val="002D05B6"/>
    <w:rsid w:val="002D7446"/>
    <w:rsid w:val="002E3054"/>
    <w:rsid w:val="002F27B5"/>
    <w:rsid w:val="002F2C10"/>
    <w:rsid w:val="00312D8A"/>
    <w:rsid w:val="0031301B"/>
    <w:rsid w:val="0032102D"/>
    <w:rsid w:val="00322661"/>
    <w:rsid w:val="0034213D"/>
    <w:rsid w:val="00347CF7"/>
    <w:rsid w:val="00361E5C"/>
    <w:rsid w:val="00361EF0"/>
    <w:rsid w:val="003705E3"/>
    <w:rsid w:val="003813E9"/>
    <w:rsid w:val="003847AE"/>
    <w:rsid w:val="003A5F72"/>
    <w:rsid w:val="003B5E75"/>
    <w:rsid w:val="003B6D9B"/>
    <w:rsid w:val="003D4DF0"/>
    <w:rsid w:val="003D546E"/>
    <w:rsid w:val="003D7278"/>
    <w:rsid w:val="003E11C8"/>
    <w:rsid w:val="003E1298"/>
    <w:rsid w:val="003E25E2"/>
    <w:rsid w:val="003F5757"/>
    <w:rsid w:val="003F63F1"/>
    <w:rsid w:val="00404E91"/>
    <w:rsid w:val="00416F9B"/>
    <w:rsid w:val="0042716E"/>
    <w:rsid w:val="00431C8D"/>
    <w:rsid w:val="00434BAA"/>
    <w:rsid w:val="00447ECB"/>
    <w:rsid w:val="00453FD9"/>
    <w:rsid w:val="00455385"/>
    <w:rsid w:val="004578C5"/>
    <w:rsid w:val="00467B86"/>
    <w:rsid w:val="00475A0F"/>
    <w:rsid w:val="004761AF"/>
    <w:rsid w:val="00477574"/>
    <w:rsid w:val="004908EE"/>
    <w:rsid w:val="004919B5"/>
    <w:rsid w:val="00495762"/>
    <w:rsid w:val="004A0F0B"/>
    <w:rsid w:val="004A13E0"/>
    <w:rsid w:val="004B121E"/>
    <w:rsid w:val="004B3605"/>
    <w:rsid w:val="004D0ECA"/>
    <w:rsid w:val="004D2122"/>
    <w:rsid w:val="004D2A40"/>
    <w:rsid w:val="004D3CCA"/>
    <w:rsid w:val="004D4CCB"/>
    <w:rsid w:val="004D7451"/>
    <w:rsid w:val="004E2884"/>
    <w:rsid w:val="004E408D"/>
    <w:rsid w:val="004F54C1"/>
    <w:rsid w:val="00503A8B"/>
    <w:rsid w:val="00505B6C"/>
    <w:rsid w:val="00506154"/>
    <w:rsid w:val="00507771"/>
    <w:rsid w:val="00510802"/>
    <w:rsid w:val="00517D02"/>
    <w:rsid w:val="00521619"/>
    <w:rsid w:val="005338E2"/>
    <w:rsid w:val="00550A95"/>
    <w:rsid w:val="00566364"/>
    <w:rsid w:val="005674FC"/>
    <w:rsid w:val="00572465"/>
    <w:rsid w:val="00574979"/>
    <w:rsid w:val="005751E8"/>
    <w:rsid w:val="0058084D"/>
    <w:rsid w:val="00581290"/>
    <w:rsid w:val="0059145F"/>
    <w:rsid w:val="005961AB"/>
    <w:rsid w:val="00597555"/>
    <w:rsid w:val="005A2D62"/>
    <w:rsid w:val="005B3D5D"/>
    <w:rsid w:val="005D408F"/>
    <w:rsid w:val="005D445E"/>
    <w:rsid w:val="005D6C47"/>
    <w:rsid w:val="005D77CE"/>
    <w:rsid w:val="005E1511"/>
    <w:rsid w:val="005E1A09"/>
    <w:rsid w:val="005E2D20"/>
    <w:rsid w:val="005E4824"/>
    <w:rsid w:val="005E4F29"/>
    <w:rsid w:val="005F6FDD"/>
    <w:rsid w:val="00604881"/>
    <w:rsid w:val="006202C5"/>
    <w:rsid w:val="006213FB"/>
    <w:rsid w:val="00622ADF"/>
    <w:rsid w:val="0062686E"/>
    <w:rsid w:val="00626AB2"/>
    <w:rsid w:val="00637899"/>
    <w:rsid w:val="00644579"/>
    <w:rsid w:val="00647F43"/>
    <w:rsid w:val="0065338E"/>
    <w:rsid w:val="006759BB"/>
    <w:rsid w:val="00680AFF"/>
    <w:rsid w:val="00682C14"/>
    <w:rsid w:val="006975A7"/>
    <w:rsid w:val="006B69C7"/>
    <w:rsid w:val="006C7549"/>
    <w:rsid w:val="006D0507"/>
    <w:rsid w:val="006D091C"/>
    <w:rsid w:val="006D22E6"/>
    <w:rsid w:val="006D323E"/>
    <w:rsid w:val="006E7255"/>
    <w:rsid w:val="006E7914"/>
    <w:rsid w:val="00705098"/>
    <w:rsid w:val="00710A48"/>
    <w:rsid w:val="00721791"/>
    <w:rsid w:val="00726365"/>
    <w:rsid w:val="007301D6"/>
    <w:rsid w:val="00742ED3"/>
    <w:rsid w:val="0074372B"/>
    <w:rsid w:val="0075195C"/>
    <w:rsid w:val="00751CD1"/>
    <w:rsid w:val="00751F74"/>
    <w:rsid w:val="00752D31"/>
    <w:rsid w:val="007539DB"/>
    <w:rsid w:val="007630E1"/>
    <w:rsid w:val="00763504"/>
    <w:rsid w:val="00764EDD"/>
    <w:rsid w:val="00776999"/>
    <w:rsid w:val="00786714"/>
    <w:rsid w:val="007932E4"/>
    <w:rsid w:val="0079593A"/>
    <w:rsid w:val="00796305"/>
    <w:rsid w:val="00797982"/>
    <w:rsid w:val="007B0BEE"/>
    <w:rsid w:val="007C0E0B"/>
    <w:rsid w:val="007D487A"/>
    <w:rsid w:val="007E0A4C"/>
    <w:rsid w:val="007E4714"/>
    <w:rsid w:val="007F601B"/>
    <w:rsid w:val="007F77A1"/>
    <w:rsid w:val="0080096D"/>
    <w:rsid w:val="00804CED"/>
    <w:rsid w:val="008128BB"/>
    <w:rsid w:val="00812BED"/>
    <w:rsid w:val="00812EEA"/>
    <w:rsid w:val="008254FD"/>
    <w:rsid w:val="008265B7"/>
    <w:rsid w:val="008274FC"/>
    <w:rsid w:val="00830420"/>
    <w:rsid w:val="00830459"/>
    <w:rsid w:val="0084488B"/>
    <w:rsid w:val="0084497D"/>
    <w:rsid w:val="008501A7"/>
    <w:rsid w:val="00852895"/>
    <w:rsid w:val="008602F8"/>
    <w:rsid w:val="0088058D"/>
    <w:rsid w:val="00881145"/>
    <w:rsid w:val="00884A3E"/>
    <w:rsid w:val="008A247D"/>
    <w:rsid w:val="008A46EC"/>
    <w:rsid w:val="008A5793"/>
    <w:rsid w:val="008A61C8"/>
    <w:rsid w:val="008A6A7B"/>
    <w:rsid w:val="008B2443"/>
    <w:rsid w:val="008C1674"/>
    <w:rsid w:val="008C6667"/>
    <w:rsid w:val="008E47F6"/>
    <w:rsid w:val="009016C3"/>
    <w:rsid w:val="00912113"/>
    <w:rsid w:val="00917929"/>
    <w:rsid w:val="00924205"/>
    <w:rsid w:val="00926A96"/>
    <w:rsid w:val="00932AF9"/>
    <w:rsid w:val="0094148C"/>
    <w:rsid w:val="009438C0"/>
    <w:rsid w:val="00954D0F"/>
    <w:rsid w:val="0095561B"/>
    <w:rsid w:val="00956463"/>
    <w:rsid w:val="00963F0F"/>
    <w:rsid w:val="009648E0"/>
    <w:rsid w:val="0097354B"/>
    <w:rsid w:val="00974DC5"/>
    <w:rsid w:val="009804A9"/>
    <w:rsid w:val="009819CB"/>
    <w:rsid w:val="00985B49"/>
    <w:rsid w:val="009930AC"/>
    <w:rsid w:val="00993294"/>
    <w:rsid w:val="009973FE"/>
    <w:rsid w:val="009C06C7"/>
    <w:rsid w:val="009D0685"/>
    <w:rsid w:val="009F3908"/>
    <w:rsid w:val="009F5398"/>
    <w:rsid w:val="00A043D7"/>
    <w:rsid w:val="00A1192F"/>
    <w:rsid w:val="00A121AC"/>
    <w:rsid w:val="00A150D3"/>
    <w:rsid w:val="00A30D6A"/>
    <w:rsid w:val="00A356EE"/>
    <w:rsid w:val="00A35800"/>
    <w:rsid w:val="00A44D2D"/>
    <w:rsid w:val="00A46124"/>
    <w:rsid w:val="00A51320"/>
    <w:rsid w:val="00A53306"/>
    <w:rsid w:val="00A53761"/>
    <w:rsid w:val="00A53783"/>
    <w:rsid w:val="00A67546"/>
    <w:rsid w:val="00A83EE9"/>
    <w:rsid w:val="00AA587E"/>
    <w:rsid w:val="00AB012E"/>
    <w:rsid w:val="00AB05D2"/>
    <w:rsid w:val="00AB29FA"/>
    <w:rsid w:val="00AB2D9E"/>
    <w:rsid w:val="00B11138"/>
    <w:rsid w:val="00B134F7"/>
    <w:rsid w:val="00B160AF"/>
    <w:rsid w:val="00B24B9B"/>
    <w:rsid w:val="00B30FB4"/>
    <w:rsid w:val="00B35049"/>
    <w:rsid w:val="00B36ACB"/>
    <w:rsid w:val="00B371E4"/>
    <w:rsid w:val="00B70446"/>
    <w:rsid w:val="00B722B4"/>
    <w:rsid w:val="00B876A2"/>
    <w:rsid w:val="00B95BF7"/>
    <w:rsid w:val="00BA1951"/>
    <w:rsid w:val="00BA3B99"/>
    <w:rsid w:val="00BB3330"/>
    <w:rsid w:val="00BB7851"/>
    <w:rsid w:val="00BC0C04"/>
    <w:rsid w:val="00BC219D"/>
    <w:rsid w:val="00BC42EA"/>
    <w:rsid w:val="00BD7B8C"/>
    <w:rsid w:val="00BF1342"/>
    <w:rsid w:val="00BF2CA9"/>
    <w:rsid w:val="00BF2CF4"/>
    <w:rsid w:val="00C016EF"/>
    <w:rsid w:val="00C031DE"/>
    <w:rsid w:val="00C10388"/>
    <w:rsid w:val="00C23D73"/>
    <w:rsid w:val="00C26EBF"/>
    <w:rsid w:val="00C560B8"/>
    <w:rsid w:val="00C57B14"/>
    <w:rsid w:val="00C7408F"/>
    <w:rsid w:val="00CA2144"/>
    <w:rsid w:val="00CA2642"/>
    <w:rsid w:val="00CA7C26"/>
    <w:rsid w:val="00CC19B1"/>
    <w:rsid w:val="00CC35DB"/>
    <w:rsid w:val="00CC6FF1"/>
    <w:rsid w:val="00CD1F2A"/>
    <w:rsid w:val="00CD3F71"/>
    <w:rsid w:val="00CD3F82"/>
    <w:rsid w:val="00D02134"/>
    <w:rsid w:val="00D03F21"/>
    <w:rsid w:val="00D10D2F"/>
    <w:rsid w:val="00D138B1"/>
    <w:rsid w:val="00D14A42"/>
    <w:rsid w:val="00D23389"/>
    <w:rsid w:val="00D24AFE"/>
    <w:rsid w:val="00D24B15"/>
    <w:rsid w:val="00D26D99"/>
    <w:rsid w:val="00D42260"/>
    <w:rsid w:val="00D4595C"/>
    <w:rsid w:val="00D47218"/>
    <w:rsid w:val="00D51858"/>
    <w:rsid w:val="00D60379"/>
    <w:rsid w:val="00D6081F"/>
    <w:rsid w:val="00D616BA"/>
    <w:rsid w:val="00D64D3E"/>
    <w:rsid w:val="00D7592A"/>
    <w:rsid w:val="00D768D9"/>
    <w:rsid w:val="00D8787A"/>
    <w:rsid w:val="00D91788"/>
    <w:rsid w:val="00DB0029"/>
    <w:rsid w:val="00DC559C"/>
    <w:rsid w:val="00DC7C16"/>
    <w:rsid w:val="00DD240D"/>
    <w:rsid w:val="00DD2704"/>
    <w:rsid w:val="00DF45F2"/>
    <w:rsid w:val="00E002C5"/>
    <w:rsid w:val="00E014B7"/>
    <w:rsid w:val="00E03952"/>
    <w:rsid w:val="00E10B63"/>
    <w:rsid w:val="00E22756"/>
    <w:rsid w:val="00E22A2C"/>
    <w:rsid w:val="00E42938"/>
    <w:rsid w:val="00E4407B"/>
    <w:rsid w:val="00E62037"/>
    <w:rsid w:val="00E91E1D"/>
    <w:rsid w:val="00E9758C"/>
    <w:rsid w:val="00EA2B75"/>
    <w:rsid w:val="00EA5010"/>
    <w:rsid w:val="00EA5975"/>
    <w:rsid w:val="00EC0FDA"/>
    <w:rsid w:val="00EC4535"/>
    <w:rsid w:val="00ED411B"/>
    <w:rsid w:val="00ED56ED"/>
    <w:rsid w:val="00EE3E08"/>
    <w:rsid w:val="00EE5E8E"/>
    <w:rsid w:val="00F06E6E"/>
    <w:rsid w:val="00F11D6B"/>
    <w:rsid w:val="00F2249D"/>
    <w:rsid w:val="00F338E1"/>
    <w:rsid w:val="00F37F7A"/>
    <w:rsid w:val="00F54B26"/>
    <w:rsid w:val="00F554CA"/>
    <w:rsid w:val="00F55C68"/>
    <w:rsid w:val="00F569C6"/>
    <w:rsid w:val="00F60617"/>
    <w:rsid w:val="00F67BEC"/>
    <w:rsid w:val="00F773CF"/>
    <w:rsid w:val="00F9058C"/>
    <w:rsid w:val="00F94FD0"/>
    <w:rsid w:val="00F96EF4"/>
    <w:rsid w:val="00FC6060"/>
    <w:rsid w:val="00FD3936"/>
    <w:rsid w:val="00FF5F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667AD4"/>
  <w15:chartTrackingRefBased/>
  <w15:docId w15:val="{1CAB603A-688B-4A49-B4FA-747B6D19B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uiPriority w:val="99"/>
    <w:semiHidden/>
    <w:pPr>
      <w:ind w:left="567" w:hanging="567"/>
    </w:pPr>
    <w:rPr>
      <w:sz w:val="20"/>
      <w:szCs w:val="20"/>
    </w:rPr>
  </w:style>
  <w:style w:type="character" w:styleId="FootnoteReference">
    <w:name w:val="footnote reference"/>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uiPriority w:val="99"/>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styleId="Caption">
    <w:name w:val="caption"/>
    <w:basedOn w:val="Normal"/>
    <w:next w:val="Normal"/>
    <w:uiPriority w:val="35"/>
    <w:unhideWhenUsed/>
    <w:qFormat/>
    <w:rsid w:val="00A53306"/>
    <w:pPr>
      <w:spacing w:after="200"/>
    </w:pPr>
    <w:rPr>
      <w:i/>
      <w:iCs/>
      <w:color w:val="44546A" w:themeColor="text2"/>
      <w:sz w:val="18"/>
      <w:szCs w:val="18"/>
    </w:rPr>
  </w:style>
  <w:style w:type="character" w:customStyle="1" w:styleId="Para1CharChar">
    <w:name w:val="Para 1 Char Char"/>
    <w:link w:val="Para1"/>
    <w:locked/>
    <w:rsid w:val="00F11D6B"/>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21003">
      <w:bodyDiv w:val="1"/>
      <w:marLeft w:val="0"/>
      <w:marRight w:val="0"/>
      <w:marTop w:val="0"/>
      <w:marBottom w:val="0"/>
      <w:divBdr>
        <w:top w:val="none" w:sz="0" w:space="0" w:color="auto"/>
        <w:left w:val="none" w:sz="0" w:space="0" w:color="auto"/>
        <w:bottom w:val="none" w:sz="0" w:space="0" w:color="auto"/>
        <w:right w:val="none" w:sz="0" w:space="0" w:color="auto"/>
      </w:divBdr>
    </w:div>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50442010">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405953209">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667588916">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2FBF8-1390-4583-BA90-2AC13B099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2631</Words>
  <Characters>14997</Characters>
  <Application>Microsoft Office Word</Application>
  <DocSecurity>8</DocSecurity>
  <Lines>124</Lines>
  <Paragraphs>35</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17593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Alison Glynn (CSV)</dc:creator>
  <cp:keywords/>
  <dc:description/>
  <cp:lastModifiedBy>Morsal Bashir</cp:lastModifiedBy>
  <cp:revision>2</cp:revision>
  <cp:lastPrinted>2019-08-16T05:00:00Z</cp:lastPrinted>
  <dcterms:created xsi:type="dcterms:W3CDTF">2019-08-19T03:50:00Z</dcterms:created>
  <dcterms:modified xsi:type="dcterms:W3CDTF">2019-08-19T03:50:00Z</dcterms:modified>
</cp:coreProperties>
</file>